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33" w:rsidRPr="00A33B33" w:rsidRDefault="00A33B33" w:rsidP="00A33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B3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«Уважаемые жители Нефтекумского </w:t>
      </w:r>
      <w:r w:rsidR="001F385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муниципального</w:t>
      </w:r>
      <w:r w:rsidRPr="00A33B3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округа Ставропольского края».</w:t>
      </w:r>
      <w:r w:rsidRPr="00A33B33">
        <w:rPr>
          <w:rFonts w:ascii="Times New Roman" w:hAnsi="Times New Roman" w:cs="Times New Roman"/>
          <w:sz w:val="26"/>
          <w:szCs w:val="26"/>
        </w:rPr>
        <w:br/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A33B33">
        <w:rPr>
          <w:bCs/>
          <w:sz w:val="26"/>
          <w:szCs w:val="26"/>
          <w:bdr w:val="none" w:sz="0" w:space="0" w:color="auto" w:frame="1"/>
        </w:rPr>
        <w:t xml:space="preserve">Управление имущественных и земельных отношений администрации Нефтекумского </w:t>
      </w:r>
      <w:r w:rsidR="001F385F">
        <w:rPr>
          <w:bCs/>
          <w:sz w:val="26"/>
          <w:szCs w:val="26"/>
          <w:bdr w:val="none" w:sz="0" w:space="0" w:color="auto" w:frame="1"/>
        </w:rPr>
        <w:t>муниципального</w:t>
      </w:r>
      <w:r w:rsidRPr="00A33B33">
        <w:rPr>
          <w:bCs/>
          <w:sz w:val="26"/>
          <w:szCs w:val="26"/>
          <w:bdr w:val="none" w:sz="0" w:space="0" w:color="auto" w:frame="1"/>
        </w:rPr>
        <w:t xml:space="preserve"> округа (далее-Управление) сообщает собственникам земельных участков (в том числе собственников земель сельскохозяйственного назначения» и собственникам долей</w:t>
      </w:r>
      <w:r w:rsidRPr="00A33B33">
        <w:rPr>
          <w:sz w:val="20"/>
          <w:szCs w:val="20"/>
          <w:shd w:val="clear" w:color="auto" w:fill="FFFFFF"/>
        </w:rPr>
        <w:t xml:space="preserve"> </w:t>
      </w:r>
      <w:r w:rsidRPr="00A33B33">
        <w:rPr>
          <w:sz w:val="26"/>
          <w:szCs w:val="26"/>
          <w:shd w:val="clear" w:color="auto" w:fill="FFFFFF"/>
        </w:rPr>
        <w:t>в праве общей собственности на </w:t>
      </w:r>
      <w:r w:rsidRPr="00A33B33">
        <w:rPr>
          <w:bCs/>
          <w:sz w:val="26"/>
          <w:szCs w:val="26"/>
          <w:shd w:val="clear" w:color="auto" w:fill="FFFFFF"/>
        </w:rPr>
        <w:t>земельный</w:t>
      </w:r>
      <w:r w:rsidRPr="00A33B33">
        <w:rPr>
          <w:sz w:val="26"/>
          <w:szCs w:val="26"/>
          <w:shd w:val="clear" w:color="auto" w:fill="FFFFFF"/>
        </w:rPr>
        <w:t> </w:t>
      </w:r>
      <w:r w:rsidRPr="00A33B33">
        <w:rPr>
          <w:bCs/>
          <w:sz w:val="26"/>
          <w:szCs w:val="26"/>
          <w:shd w:val="clear" w:color="auto" w:fill="FFFFFF"/>
        </w:rPr>
        <w:t>участок</w:t>
      </w:r>
      <w:r w:rsidRPr="00A33B33">
        <w:rPr>
          <w:sz w:val="26"/>
          <w:szCs w:val="26"/>
          <w:shd w:val="clear" w:color="auto" w:fill="FFFFFF"/>
        </w:rPr>
        <w:t> из </w:t>
      </w:r>
      <w:r w:rsidRPr="00A33B33">
        <w:rPr>
          <w:bCs/>
          <w:sz w:val="26"/>
          <w:szCs w:val="26"/>
          <w:shd w:val="clear" w:color="auto" w:fill="FFFFFF"/>
        </w:rPr>
        <w:t>земель</w:t>
      </w:r>
      <w:r w:rsidRPr="00A33B33">
        <w:rPr>
          <w:sz w:val="26"/>
          <w:szCs w:val="26"/>
          <w:shd w:val="clear" w:color="auto" w:fill="FFFFFF"/>
        </w:rPr>
        <w:t> </w:t>
      </w:r>
      <w:r w:rsidRPr="00A33B33">
        <w:rPr>
          <w:bCs/>
          <w:sz w:val="26"/>
          <w:szCs w:val="26"/>
          <w:shd w:val="clear" w:color="auto" w:fill="FFFFFF"/>
        </w:rPr>
        <w:t>сельскохозяйственного</w:t>
      </w:r>
      <w:r w:rsidRPr="00A33B33">
        <w:rPr>
          <w:sz w:val="26"/>
          <w:szCs w:val="26"/>
          <w:shd w:val="clear" w:color="auto" w:fill="FFFFFF"/>
        </w:rPr>
        <w:t> </w:t>
      </w:r>
      <w:r w:rsidRPr="00A33B33">
        <w:rPr>
          <w:bCs/>
          <w:sz w:val="26"/>
          <w:szCs w:val="26"/>
          <w:shd w:val="clear" w:color="auto" w:fill="FFFFFF"/>
        </w:rPr>
        <w:t>назначения</w:t>
      </w:r>
      <w:r w:rsidRPr="00A33B33">
        <w:rPr>
          <w:bCs/>
          <w:sz w:val="26"/>
          <w:szCs w:val="26"/>
          <w:bdr w:val="none" w:sz="0" w:space="0" w:color="auto" w:frame="1"/>
        </w:rPr>
        <w:t>) о необходимости проведении кадастровых работ по установлению границ земельных участков.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A33B33">
        <w:rPr>
          <w:sz w:val="26"/>
          <w:szCs w:val="26"/>
        </w:rPr>
        <w:t xml:space="preserve">Ранее </w:t>
      </w:r>
      <w:r w:rsidR="009C6210">
        <w:rPr>
          <w:sz w:val="26"/>
          <w:szCs w:val="26"/>
        </w:rPr>
        <w:t>постановка</w:t>
      </w:r>
      <w:r w:rsidRPr="00A33B33">
        <w:rPr>
          <w:sz w:val="26"/>
          <w:szCs w:val="26"/>
        </w:rPr>
        <w:t xml:space="preserve"> на</w:t>
      </w:r>
      <w:r w:rsidR="009C6210">
        <w:rPr>
          <w:sz w:val="26"/>
          <w:szCs w:val="26"/>
        </w:rPr>
        <w:t xml:space="preserve"> государственный</w:t>
      </w:r>
      <w:r w:rsidRPr="00A33B33">
        <w:rPr>
          <w:sz w:val="26"/>
          <w:szCs w:val="26"/>
        </w:rPr>
        <w:t xml:space="preserve"> кадастровый учет</w:t>
      </w:r>
      <w:r w:rsidR="009C6210">
        <w:rPr>
          <w:sz w:val="26"/>
          <w:szCs w:val="26"/>
        </w:rPr>
        <w:t xml:space="preserve"> осуществлялась без определения </w:t>
      </w:r>
      <w:r w:rsidRPr="00A33B33">
        <w:rPr>
          <w:sz w:val="26"/>
          <w:szCs w:val="26"/>
        </w:rPr>
        <w:t>точных границ</w:t>
      </w:r>
      <w:r w:rsidR="009C6210">
        <w:rPr>
          <w:sz w:val="26"/>
          <w:szCs w:val="26"/>
        </w:rPr>
        <w:t xml:space="preserve"> земельных участков</w:t>
      </w:r>
      <w:r w:rsidRPr="00A33B33">
        <w:rPr>
          <w:sz w:val="26"/>
          <w:szCs w:val="26"/>
        </w:rPr>
        <w:t>. Координаты характерных точек границ участка начали устанавливать только с 1 марта 2008 г. (ч. 7 ст. 38 ранее действовавшего Закона о кадастре недвижимости). Поэтому бо</w:t>
      </w:r>
      <w:r w:rsidR="009C6210">
        <w:rPr>
          <w:sz w:val="26"/>
          <w:szCs w:val="26"/>
        </w:rPr>
        <w:t>льшое количество участков в Едином государственном реестре прав на недвижимое имущество</w:t>
      </w:r>
      <w:r w:rsidRPr="00A33B33">
        <w:rPr>
          <w:sz w:val="26"/>
          <w:szCs w:val="26"/>
        </w:rPr>
        <w:t xml:space="preserve"> </w:t>
      </w:r>
      <w:r w:rsidR="009C6210">
        <w:rPr>
          <w:sz w:val="26"/>
          <w:szCs w:val="26"/>
        </w:rPr>
        <w:t xml:space="preserve">(ЕГРН) </w:t>
      </w:r>
      <w:r w:rsidRPr="00A33B33">
        <w:rPr>
          <w:sz w:val="26"/>
          <w:szCs w:val="26"/>
        </w:rPr>
        <w:t>точных границ не имеет.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A33B33">
        <w:rPr>
          <w:sz w:val="26"/>
          <w:szCs w:val="26"/>
        </w:rPr>
        <w:t>Согласно пункту 3 части 4 статьи 8 № 218-ФЗ «О государственной регистрации недвижимости» (Закон о регистрации), описание местоположения объекта недвижимости является одним из основных сведений об объекте недвижимости.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A33B33">
        <w:rPr>
          <w:sz w:val="26"/>
          <w:szCs w:val="26"/>
        </w:rPr>
        <w:t xml:space="preserve">Юридически уточнение границ участка земли - это совокупность действий и процедур, позволяющая установить и официально закрепить в </w:t>
      </w:r>
      <w:r w:rsidR="009C6210">
        <w:rPr>
          <w:sz w:val="26"/>
          <w:szCs w:val="26"/>
        </w:rPr>
        <w:t>ЕГРН</w:t>
      </w:r>
      <w:bookmarkStart w:id="0" w:name="_GoBack"/>
      <w:bookmarkEnd w:id="0"/>
      <w:r w:rsidRPr="00A33B33">
        <w:rPr>
          <w:sz w:val="26"/>
          <w:szCs w:val="26"/>
        </w:rPr>
        <w:t xml:space="preserve"> площадь, конфигурацию и координаты поворотных точек (мест изломов границы земельного участка).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A33B33">
        <w:rPr>
          <w:sz w:val="26"/>
          <w:szCs w:val="26"/>
        </w:rPr>
        <w:t>Уточнение требуется, если земельный участок уже поставлен на кадастровый учет, но с декларативной площадью, т.е. точные границы и площадь земельного участка не определены.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A33B33">
        <w:rPr>
          <w:sz w:val="26"/>
          <w:szCs w:val="26"/>
        </w:rPr>
        <w:t>Уточнение границ земельного участка защищает собственника от посягатель</w:t>
      </w:r>
      <w:proofErr w:type="gramStart"/>
      <w:r w:rsidRPr="00A33B33">
        <w:rPr>
          <w:sz w:val="26"/>
          <w:szCs w:val="26"/>
        </w:rPr>
        <w:t>ств тр</w:t>
      </w:r>
      <w:proofErr w:type="gramEnd"/>
      <w:r w:rsidRPr="00A33B33">
        <w:rPr>
          <w:sz w:val="26"/>
          <w:szCs w:val="26"/>
        </w:rPr>
        <w:t xml:space="preserve">етьих лиц, в частности, от захвата территорий соседями. </w:t>
      </w:r>
    </w:p>
    <w:p w:rsidR="00A33B33" w:rsidRPr="00A33B33" w:rsidRDefault="00A33B33" w:rsidP="00A33B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B33">
        <w:rPr>
          <w:rFonts w:ascii="Times New Roman" w:hAnsi="Times New Roman" w:cs="Times New Roman"/>
          <w:sz w:val="26"/>
          <w:szCs w:val="26"/>
        </w:rPr>
        <w:t xml:space="preserve">При выявлении несоответствия площади земельного участка указанного в данных из единого государственного реестра недвижимости с фактическим размером земельного участка, возможно применение административного наказания по ст. 7.1 Кодекса Российской Федерации об административных правонарушениях «Самовольное занятие земельного участка». </w:t>
      </w:r>
    </w:p>
    <w:p w:rsidR="00A33B33" w:rsidRPr="00A33B33" w:rsidRDefault="00A33B33" w:rsidP="00A33B33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A33B33">
        <w:rPr>
          <w:sz w:val="26"/>
          <w:szCs w:val="26"/>
        </w:rPr>
        <w:t xml:space="preserve">Если </w:t>
      </w:r>
      <w:r w:rsidR="009C6210" w:rsidRPr="00A33B33">
        <w:rPr>
          <w:sz w:val="26"/>
          <w:szCs w:val="26"/>
        </w:rPr>
        <w:t xml:space="preserve">координаты характерных точек границ </w:t>
      </w:r>
      <w:r w:rsidR="009C6210">
        <w:rPr>
          <w:sz w:val="26"/>
          <w:szCs w:val="26"/>
        </w:rPr>
        <w:t>земельного участка</w:t>
      </w:r>
      <w:r w:rsidRPr="00A33B33">
        <w:rPr>
          <w:sz w:val="26"/>
          <w:szCs w:val="26"/>
        </w:rPr>
        <w:t xml:space="preserve"> не установлены, рекомендуем правообладателям провести процедуру их уточнения. Внесение сведений о границах земельного участка является гарантией прав собственников, сводит к минимуму возникновение земельных споров и позволяет точно начислять налог на имущество.</w:t>
      </w:r>
    </w:p>
    <w:sectPr w:rsidR="00A33B33" w:rsidRPr="00A33B33" w:rsidSect="00A01CC0">
      <w:pgSz w:w="11906" w:h="16838"/>
      <w:pgMar w:top="737" w:right="79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6E9"/>
    <w:multiLevelType w:val="hybridMultilevel"/>
    <w:tmpl w:val="D9B46B84"/>
    <w:lvl w:ilvl="0" w:tplc="50AE84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7587799"/>
    <w:multiLevelType w:val="hybridMultilevel"/>
    <w:tmpl w:val="FFF61DCE"/>
    <w:lvl w:ilvl="0" w:tplc="2886EB1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856"/>
    <w:rsid w:val="0000245B"/>
    <w:rsid w:val="00005606"/>
    <w:rsid w:val="00012070"/>
    <w:rsid w:val="00023745"/>
    <w:rsid w:val="00024FFA"/>
    <w:rsid w:val="000566F5"/>
    <w:rsid w:val="00060338"/>
    <w:rsid w:val="000621E3"/>
    <w:rsid w:val="000742D0"/>
    <w:rsid w:val="0008095B"/>
    <w:rsid w:val="000A6ED1"/>
    <w:rsid w:val="000F083E"/>
    <w:rsid w:val="000F1FA5"/>
    <w:rsid w:val="000F3C2B"/>
    <w:rsid w:val="0010541C"/>
    <w:rsid w:val="00121B90"/>
    <w:rsid w:val="0016702B"/>
    <w:rsid w:val="001710FB"/>
    <w:rsid w:val="00173F9E"/>
    <w:rsid w:val="0018504C"/>
    <w:rsid w:val="001857FE"/>
    <w:rsid w:val="001B7C61"/>
    <w:rsid w:val="001D7BF3"/>
    <w:rsid w:val="001E6DF9"/>
    <w:rsid w:val="001F385F"/>
    <w:rsid w:val="00211450"/>
    <w:rsid w:val="00211F3B"/>
    <w:rsid w:val="0021434C"/>
    <w:rsid w:val="00270EB3"/>
    <w:rsid w:val="00275423"/>
    <w:rsid w:val="002B5856"/>
    <w:rsid w:val="002B5E78"/>
    <w:rsid w:val="002D19F6"/>
    <w:rsid w:val="002E3205"/>
    <w:rsid w:val="0031675C"/>
    <w:rsid w:val="00347B4F"/>
    <w:rsid w:val="00350813"/>
    <w:rsid w:val="0037076D"/>
    <w:rsid w:val="003740A0"/>
    <w:rsid w:val="0038212F"/>
    <w:rsid w:val="003F305B"/>
    <w:rsid w:val="00400FFA"/>
    <w:rsid w:val="004563F7"/>
    <w:rsid w:val="00475D7F"/>
    <w:rsid w:val="0048282A"/>
    <w:rsid w:val="004A75F8"/>
    <w:rsid w:val="004C0D88"/>
    <w:rsid w:val="004C385C"/>
    <w:rsid w:val="00501DE3"/>
    <w:rsid w:val="0053287C"/>
    <w:rsid w:val="0056230D"/>
    <w:rsid w:val="005D3411"/>
    <w:rsid w:val="00612011"/>
    <w:rsid w:val="006A3934"/>
    <w:rsid w:val="006C7BCF"/>
    <w:rsid w:val="006D59C8"/>
    <w:rsid w:val="00702584"/>
    <w:rsid w:val="00717566"/>
    <w:rsid w:val="00722385"/>
    <w:rsid w:val="007525EC"/>
    <w:rsid w:val="00771C3C"/>
    <w:rsid w:val="007762A6"/>
    <w:rsid w:val="007A6746"/>
    <w:rsid w:val="007D03CE"/>
    <w:rsid w:val="007D1480"/>
    <w:rsid w:val="007D710D"/>
    <w:rsid w:val="00802C78"/>
    <w:rsid w:val="0082654F"/>
    <w:rsid w:val="00827A61"/>
    <w:rsid w:val="00832481"/>
    <w:rsid w:val="008347B7"/>
    <w:rsid w:val="00850C16"/>
    <w:rsid w:val="008A71FF"/>
    <w:rsid w:val="008B1F0F"/>
    <w:rsid w:val="008C1C55"/>
    <w:rsid w:val="00930299"/>
    <w:rsid w:val="00954F14"/>
    <w:rsid w:val="00982314"/>
    <w:rsid w:val="00983B27"/>
    <w:rsid w:val="00987D81"/>
    <w:rsid w:val="009C6210"/>
    <w:rsid w:val="009D6468"/>
    <w:rsid w:val="009D6733"/>
    <w:rsid w:val="009E6CDE"/>
    <w:rsid w:val="009F1AF2"/>
    <w:rsid w:val="00A01CC0"/>
    <w:rsid w:val="00A15B0A"/>
    <w:rsid w:val="00A33B33"/>
    <w:rsid w:val="00A45290"/>
    <w:rsid w:val="00A45711"/>
    <w:rsid w:val="00A76EA6"/>
    <w:rsid w:val="00AA5951"/>
    <w:rsid w:val="00AB03C6"/>
    <w:rsid w:val="00AC0F9F"/>
    <w:rsid w:val="00AC5219"/>
    <w:rsid w:val="00AE020B"/>
    <w:rsid w:val="00B03FAF"/>
    <w:rsid w:val="00B21076"/>
    <w:rsid w:val="00B3140B"/>
    <w:rsid w:val="00B31788"/>
    <w:rsid w:val="00B31BCA"/>
    <w:rsid w:val="00B41F85"/>
    <w:rsid w:val="00B52E91"/>
    <w:rsid w:val="00B72B94"/>
    <w:rsid w:val="00B80D96"/>
    <w:rsid w:val="00B86094"/>
    <w:rsid w:val="00B91725"/>
    <w:rsid w:val="00BE6348"/>
    <w:rsid w:val="00C11234"/>
    <w:rsid w:val="00C56E94"/>
    <w:rsid w:val="00C9014B"/>
    <w:rsid w:val="00CA29D4"/>
    <w:rsid w:val="00CD6DAA"/>
    <w:rsid w:val="00CE429A"/>
    <w:rsid w:val="00CF4CA4"/>
    <w:rsid w:val="00D016D6"/>
    <w:rsid w:val="00D426A0"/>
    <w:rsid w:val="00D5173C"/>
    <w:rsid w:val="00D87AEA"/>
    <w:rsid w:val="00D91379"/>
    <w:rsid w:val="00DD302D"/>
    <w:rsid w:val="00E47CE2"/>
    <w:rsid w:val="00E7036C"/>
    <w:rsid w:val="00E7404C"/>
    <w:rsid w:val="00E83FEA"/>
    <w:rsid w:val="00E9137F"/>
    <w:rsid w:val="00EA0072"/>
    <w:rsid w:val="00EE475C"/>
    <w:rsid w:val="00F0185D"/>
    <w:rsid w:val="00F21E3F"/>
    <w:rsid w:val="00F37930"/>
    <w:rsid w:val="00F507F9"/>
    <w:rsid w:val="00F55522"/>
    <w:rsid w:val="00F6301D"/>
    <w:rsid w:val="00F73FCC"/>
    <w:rsid w:val="00F81738"/>
    <w:rsid w:val="00F82B58"/>
    <w:rsid w:val="00F8579A"/>
    <w:rsid w:val="00FB63B0"/>
    <w:rsid w:val="00FB6476"/>
    <w:rsid w:val="00FB6DF7"/>
    <w:rsid w:val="00FD2E43"/>
    <w:rsid w:val="00FD35E0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D"/>
  </w:style>
  <w:style w:type="paragraph" w:styleId="1">
    <w:name w:val="heading 1"/>
    <w:basedOn w:val="a"/>
    <w:next w:val="a"/>
    <w:link w:val="10"/>
    <w:qFormat/>
    <w:rsid w:val="002B58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2B585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B58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2B585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B58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rsid w:val="002B58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8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317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1788"/>
  </w:style>
  <w:style w:type="paragraph" w:customStyle="1" w:styleId="ConsNormal">
    <w:name w:val="ConsNormal"/>
    <w:rsid w:val="00347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56E94"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A15B0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5D7F"/>
    <w:rPr>
      <w:color w:val="0000FF"/>
      <w:u w:val="single"/>
    </w:rPr>
  </w:style>
  <w:style w:type="paragraph" w:customStyle="1" w:styleId="s1">
    <w:name w:val="s_1"/>
    <w:basedOn w:val="a"/>
    <w:rsid w:val="009E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11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9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35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DFA-EE42-4BFF-A0AF-4D2A934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Бойко</cp:lastModifiedBy>
  <cp:revision>32</cp:revision>
  <cp:lastPrinted>2024-03-25T10:12:00Z</cp:lastPrinted>
  <dcterms:created xsi:type="dcterms:W3CDTF">2015-08-06T10:26:00Z</dcterms:created>
  <dcterms:modified xsi:type="dcterms:W3CDTF">2024-03-26T07:31:00Z</dcterms:modified>
</cp:coreProperties>
</file>