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charts/chart49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FF" w:rsidRDefault="00CA02FF" w:rsidP="00E1016D">
      <w:pPr>
        <w:rPr>
          <w:sz w:val="28"/>
          <w:szCs w:val="28"/>
        </w:rPr>
      </w:pPr>
    </w:p>
    <w:p w:rsidR="004B36C3" w:rsidRDefault="004B36C3" w:rsidP="004B36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A02FF">
        <w:rPr>
          <w:sz w:val="28"/>
          <w:szCs w:val="28"/>
        </w:rPr>
        <w:t xml:space="preserve"> </w:t>
      </w:r>
      <w:r w:rsidR="0071340C">
        <w:rPr>
          <w:sz w:val="28"/>
          <w:szCs w:val="28"/>
        </w:rPr>
        <w:t>8</w:t>
      </w:r>
    </w:p>
    <w:p w:rsidR="004B36C3" w:rsidRDefault="004B36C3" w:rsidP="004B36C3">
      <w:pPr>
        <w:spacing w:line="240" w:lineRule="exact"/>
        <w:jc w:val="center"/>
        <w:rPr>
          <w:sz w:val="28"/>
          <w:szCs w:val="28"/>
        </w:rPr>
      </w:pPr>
    </w:p>
    <w:p w:rsidR="00CA02FF" w:rsidRDefault="00B26BAB" w:rsidP="00CA02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итогов </w:t>
      </w:r>
      <w:r w:rsidRPr="00B26BAB">
        <w:rPr>
          <w:sz w:val="28"/>
          <w:szCs w:val="28"/>
        </w:rPr>
        <w:t xml:space="preserve">опросов субъектов предпринимательской деятельности и потребителей товаров, работ и услуг о состоянии конкуренции </w:t>
      </w:r>
    </w:p>
    <w:p w:rsidR="004B36C3" w:rsidRPr="00B26BAB" w:rsidRDefault="00B26BAB" w:rsidP="00CA02FF">
      <w:pPr>
        <w:spacing w:line="240" w:lineRule="exact"/>
        <w:jc w:val="center"/>
        <w:rPr>
          <w:sz w:val="28"/>
          <w:szCs w:val="28"/>
        </w:rPr>
      </w:pPr>
      <w:r w:rsidRPr="00B26BAB">
        <w:rPr>
          <w:sz w:val="28"/>
          <w:szCs w:val="28"/>
        </w:rPr>
        <w:t>на товарных рынках Ставропольского края</w:t>
      </w:r>
    </w:p>
    <w:p w:rsidR="00D10BB0" w:rsidRPr="005E2536" w:rsidRDefault="00D10BB0" w:rsidP="00CA02FF">
      <w:pPr>
        <w:spacing w:line="240" w:lineRule="exact"/>
        <w:jc w:val="center"/>
        <w:rPr>
          <w:sz w:val="28"/>
          <w:szCs w:val="28"/>
          <w:u w:val="single"/>
        </w:rPr>
      </w:pPr>
      <w:proofErr w:type="gramStart"/>
      <w:r w:rsidRPr="005E2536">
        <w:rPr>
          <w:sz w:val="28"/>
          <w:szCs w:val="28"/>
          <w:u w:val="single"/>
        </w:rPr>
        <w:t>в</w:t>
      </w:r>
      <w:proofErr w:type="gramEnd"/>
      <w:r w:rsidRPr="005E2536">
        <w:rPr>
          <w:sz w:val="28"/>
          <w:szCs w:val="28"/>
          <w:u w:val="single"/>
        </w:rPr>
        <w:t xml:space="preserve"> </w:t>
      </w:r>
      <w:proofErr w:type="gramStart"/>
      <w:r w:rsidR="00315D03">
        <w:rPr>
          <w:sz w:val="28"/>
          <w:szCs w:val="28"/>
          <w:u w:val="single"/>
        </w:rPr>
        <w:t>Нефтекумском</w:t>
      </w:r>
      <w:proofErr w:type="gramEnd"/>
      <w:r w:rsidR="005E2536" w:rsidRPr="005E2536">
        <w:rPr>
          <w:sz w:val="28"/>
          <w:szCs w:val="28"/>
          <w:u w:val="single"/>
        </w:rPr>
        <w:t xml:space="preserve"> </w:t>
      </w:r>
      <w:r w:rsidR="001C2322">
        <w:rPr>
          <w:sz w:val="28"/>
          <w:szCs w:val="28"/>
          <w:u w:val="single"/>
        </w:rPr>
        <w:t>муниципальном</w:t>
      </w:r>
      <w:r w:rsidR="005E2536" w:rsidRPr="005E2536">
        <w:rPr>
          <w:sz w:val="28"/>
          <w:szCs w:val="28"/>
          <w:u w:val="single"/>
        </w:rPr>
        <w:t xml:space="preserve"> округе</w:t>
      </w:r>
      <w:r w:rsidR="00315D03">
        <w:rPr>
          <w:sz w:val="28"/>
          <w:szCs w:val="28"/>
          <w:u w:val="single"/>
        </w:rPr>
        <w:t xml:space="preserve"> Ставропольского края</w:t>
      </w:r>
    </w:p>
    <w:p w:rsidR="004B36C3" w:rsidRDefault="004B36C3" w:rsidP="004B36C3">
      <w:pPr>
        <w:jc w:val="center"/>
        <w:rPr>
          <w:sz w:val="28"/>
          <w:szCs w:val="28"/>
        </w:rPr>
      </w:pPr>
    </w:p>
    <w:p w:rsidR="00063377" w:rsidRPr="00063377" w:rsidRDefault="00B26BAB" w:rsidP="00CA02FF">
      <w:pPr>
        <w:pStyle w:val="a7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063377">
        <w:rPr>
          <w:b/>
          <w:sz w:val="28"/>
          <w:szCs w:val="28"/>
        </w:rPr>
        <w:t xml:space="preserve">Анализ итогов опросов потребителей </w:t>
      </w:r>
    </w:p>
    <w:p w:rsidR="00611AA2" w:rsidRDefault="00B26BAB" w:rsidP="00CA02FF">
      <w:pPr>
        <w:pStyle w:val="a7"/>
        <w:ind w:left="0"/>
        <w:jc w:val="center"/>
        <w:rPr>
          <w:b/>
          <w:sz w:val="28"/>
          <w:szCs w:val="28"/>
        </w:rPr>
      </w:pPr>
      <w:r w:rsidRPr="00063377">
        <w:rPr>
          <w:b/>
          <w:sz w:val="28"/>
          <w:szCs w:val="28"/>
        </w:rPr>
        <w:t>товаров, работ и услуг.</w:t>
      </w:r>
    </w:p>
    <w:p w:rsidR="00063377" w:rsidRPr="00063377" w:rsidRDefault="00063377" w:rsidP="00063377">
      <w:pPr>
        <w:pStyle w:val="a7"/>
        <w:ind w:left="1080"/>
        <w:jc w:val="center"/>
        <w:rPr>
          <w:b/>
          <w:sz w:val="28"/>
          <w:szCs w:val="28"/>
        </w:rPr>
      </w:pPr>
    </w:p>
    <w:p w:rsidR="00050C5A" w:rsidRPr="00315D03" w:rsidRDefault="00063377" w:rsidP="00315D03">
      <w:pPr>
        <w:pStyle w:val="a7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063377">
        <w:rPr>
          <w:b/>
          <w:sz w:val="28"/>
          <w:szCs w:val="28"/>
        </w:rPr>
        <w:t xml:space="preserve">Динамика количества опрошенных потребителей товаров, </w:t>
      </w:r>
      <w:r w:rsidRPr="008A7A3F">
        <w:rPr>
          <w:b/>
          <w:sz w:val="28"/>
          <w:szCs w:val="28"/>
        </w:rPr>
        <w:t>работ и услуг с учетом их пола, социального статуса, образования в сравнении с прошлым годом.</w:t>
      </w:r>
    </w:p>
    <w:p w:rsidR="00315D03" w:rsidRPr="00315D03" w:rsidRDefault="00315D03" w:rsidP="00315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5D0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Нефтекумского </w:t>
      </w:r>
      <w:r w:rsidR="001C232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315D03">
        <w:rPr>
          <w:sz w:val="28"/>
          <w:szCs w:val="28"/>
        </w:rPr>
        <w:t xml:space="preserve"> Ставропол</w:t>
      </w:r>
      <w:r w:rsidR="009F15D5">
        <w:rPr>
          <w:sz w:val="28"/>
          <w:szCs w:val="28"/>
        </w:rPr>
        <w:t xml:space="preserve">ьского края был проведен опрос </w:t>
      </w:r>
      <w:r w:rsidR="008F10B3">
        <w:rPr>
          <w:sz w:val="28"/>
          <w:szCs w:val="28"/>
        </w:rPr>
        <w:t>субъектов предпринимательской деятельности и потребителей товаров, работ и услуг о состоянии конкуренции на това</w:t>
      </w:r>
      <w:r w:rsidR="00260A2E">
        <w:rPr>
          <w:sz w:val="28"/>
          <w:szCs w:val="28"/>
        </w:rPr>
        <w:t>рных рынках Ставропольского края</w:t>
      </w:r>
      <w:r w:rsidRPr="00315D03">
        <w:rPr>
          <w:sz w:val="28"/>
          <w:szCs w:val="28"/>
        </w:rPr>
        <w:t xml:space="preserve">. </w:t>
      </w:r>
    </w:p>
    <w:p w:rsidR="00315D03" w:rsidRPr="00315D03" w:rsidRDefault="00CF5499" w:rsidP="00315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5D03" w:rsidRPr="00315D03">
        <w:rPr>
          <w:sz w:val="28"/>
          <w:szCs w:val="28"/>
        </w:rPr>
        <w:t xml:space="preserve">Всего в опросе приняли участие </w:t>
      </w:r>
      <w:r w:rsidR="00F152CB">
        <w:rPr>
          <w:sz w:val="28"/>
          <w:szCs w:val="28"/>
        </w:rPr>
        <w:t>253</w:t>
      </w:r>
      <w:r w:rsidR="008B01F9">
        <w:rPr>
          <w:sz w:val="28"/>
          <w:szCs w:val="28"/>
        </w:rPr>
        <w:t xml:space="preserve"> респондента</w:t>
      </w:r>
      <w:r w:rsidR="009F15D5">
        <w:rPr>
          <w:sz w:val="28"/>
          <w:szCs w:val="28"/>
        </w:rPr>
        <w:t>, что составляет</w:t>
      </w:r>
      <w:r w:rsidR="008B01F9">
        <w:t> </w:t>
      </w:r>
      <w:r w:rsidR="00331497" w:rsidRPr="00331497">
        <w:rPr>
          <w:sz w:val="28"/>
          <w:szCs w:val="28"/>
        </w:rPr>
        <w:t>0,42</w:t>
      </w:r>
      <w:r w:rsidR="009F15D5">
        <w:rPr>
          <w:sz w:val="28"/>
          <w:szCs w:val="28"/>
        </w:rPr>
        <w:t xml:space="preserve"> </w:t>
      </w:r>
      <w:r w:rsidR="00331497">
        <w:rPr>
          <w:sz w:val="28"/>
          <w:szCs w:val="28"/>
        </w:rPr>
        <w:t>%</w:t>
      </w:r>
      <w:r w:rsidR="009F15D5">
        <w:rPr>
          <w:sz w:val="28"/>
          <w:szCs w:val="28"/>
        </w:rPr>
        <w:t xml:space="preserve"> от общей численности населения округа</w:t>
      </w:r>
      <w:r w:rsidR="00315D03" w:rsidRPr="00315D03">
        <w:rPr>
          <w:sz w:val="28"/>
          <w:szCs w:val="28"/>
        </w:rPr>
        <w:t>. По сравнению с прошлым годом количество опрошенных увеличи</w:t>
      </w:r>
      <w:r w:rsidR="009F15D5">
        <w:rPr>
          <w:sz w:val="28"/>
          <w:szCs w:val="28"/>
        </w:rPr>
        <w:t xml:space="preserve">лось на </w:t>
      </w:r>
      <w:r w:rsidR="00F152CB">
        <w:rPr>
          <w:sz w:val="28"/>
          <w:szCs w:val="28"/>
        </w:rPr>
        <w:t>51</w:t>
      </w:r>
      <w:r w:rsidR="009F15D5">
        <w:rPr>
          <w:sz w:val="28"/>
          <w:szCs w:val="28"/>
        </w:rPr>
        <w:t xml:space="preserve"> человек</w:t>
      </w:r>
      <w:r w:rsidR="00315D03" w:rsidRPr="00315D03">
        <w:rPr>
          <w:sz w:val="28"/>
          <w:szCs w:val="28"/>
        </w:rPr>
        <w:t>.</w:t>
      </w:r>
    </w:p>
    <w:p w:rsidR="00315D03" w:rsidRDefault="00CF5499" w:rsidP="00315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5D03" w:rsidRPr="00315D03">
        <w:rPr>
          <w:sz w:val="28"/>
          <w:szCs w:val="28"/>
        </w:rPr>
        <w:t>Количество опрошенн</w:t>
      </w:r>
      <w:r w:rsidR="000C2B89">
        <w:rPr>
          <w:sz w:val="28"/>
          <w:szCs w:val="28"/>
        </w:rPr>
        <w:t xml:space="preserve">ых </w:t>
      </w:r>
      <w:r w:rsidR="008F10B3">
        <w:rPr>
          <w:sz w:val="28"/>
          <w:szCs w:val="28"/>
        </w:rPr>
        <w:t>мужчин</w:t>
      </w:r>
      <w:r w:rsidR="000C2B89">
        <w:rPr>
          <w:sz w:val="28"/>
          <w:szCs w:val="28"/>
        </w:rPr>
        <w:t xml:space="preserve"> составило - </w:t>
      </w:r>
      <w:r w:rsidR="0090119B">
        <w:rPr>
          <w:sz w:val="28"/>
          <w:szCs w:val="28"/>
        </w:rPr>
        <w:t>110</w:t>
      </w:r>
      <w:r w:rsidR="000C2B89">
        <w:rPr>
          <w:sz w:val="28"/>
          <w:szCs w:val="28"/>
        </w:rPr>
        <w:t xml:space="preserve"> </w:t>
      </w:r>
      <w:r w:rsidR="008F10B3">
        <w:rPr>
          <w:sz w:val="28"/>
          <w:szCs w:val="28"/>
        </w:rPr>
        <w:t>человек</w:t>
      </w:r>
      <w:r w:rsidR="000C2B89">
        <w:rPr>
          <w:sz w:val="28"/>
          <w:szCs w:val="28"/>
        </w:rPr>
        <w:t xml:space="preserve">, что на </w:t>
      </w:r>
      <w:r w:rsidR="0090119B">
        <w:rPr>
          <w:sz w:val="28"/>
          <w:szCs w:val="28"/>
        </w:rPr>
        <w:t>23</w:t>
      </w:r>
      <w:r w:rsidR="00315D03" w:rsidRPr="00315D03">
        <w:rPr>
          <w:sz w:val="28"/>
          <w:szCs w:val="28"/>
        </w:rPr>
        <w:t xml:space="preserve"> </w:t>
      </w:r>
      <w:r w:rsidR="008B01F9">
        <w:rPr>
          <w:sz w:val="28"/>
          <w:szCs w:val="28"/>
        </w:rPr>
        <w:t>больше по сравнению с 202</w:t>
      </w:r>
      <w:r w:rsidR="0090119B">
        <w:rPr>
          <w:sz w:val="28"/>
          <w:szCs w:val="28"/>
        </w:rPr>
        <w:t>2</w:t>
      </w:r>
      <w:r w:rsidR="00315D03" w:rsidRPr="00315D03">
        <w:rPr>
          <w:sz w:val="28"/>
          <w:szCs w:val="28"/>
        </w:rPr>
        <w:t xml:space="preserve"> годом, количество </w:t>
      </w:r>
      <w:r w:rsidR="008F10B3">
        <w:rPr>
          <w:sz w:val="28"/>
          <w:szCs w:val="28"/>
        </w:rPr>
        <w:t>женщин</w:t>
      </w:r>
      <w:r w:rsidR="00315D03" w:rsidRPr="00315D03">
        <w:rPr>
          <w:sz w:val="28"/>
          <w:szCs w:val="28"/>
        </w:rPr>
        <w:t xml:space="preserve"> составило - </w:t>
      </w:r>
      <w:r w:rsidR="0090119B">
        <w:rPr>
          <w:sz w:val="28"/>
          <w:szCs w:val="28"/>
        </w:rPr>
        <w:t>143</w:t>
      </w:r>
      <w:r w:rsidR="000C2B89">
        <w:rPr>
          <w:sz w:val="28"/>
          <w:szCs w:val="28"/>
        </w:rPr>
        <w:t xml:space="preserve"> </w:t>
      </w:r>
      <w:r w:rsidR="008F10B3">
        <w:rPr>
          <w:sz w:val="28"/>
          <w:szCs w:val="28"/>
        </w:rPr>
        <w:t>человека</w:t>
      </w:r>
      <w:r w:rsidR="000C2B89">
        <w:rPr>
          <w:sz w:val="28"/>
          <w:szCs w:val="28"/>
        </w:rPr>
        <w:t xml:space="preserve">, что на </w:t>
      </w:r>
      <w:r w:rsidR="0090119B">
        <w:rPr>
          <w:sz w:val="28"/>
          <w:szCs w:val="28"/>
        </w:rPr>
        <w:t>28</w:t>
      </w:r>
      <w:r w:rsidR="00315D03" w:rsidRPr="00315D03">
        <w:rPr>
          <w:sz w:val="28"/>
          <w:szCs w:val="28"/>
        </w:rPr>
        <w:t xml:space="preserve"> </w:t>
      </w:r>
      <w:r w:rsidR="008F10B3">
        <w:rPr>
          <w:sz w:val="28"/>
          <w:szCs w:val="28"/>
        </w:rPr>
        <w:t>человека</w:t>
      </w:r>
      <w:r w:rsidR="00315D03" w:rsidRPr="00315D03">
        <w:rPr>
          <w:sz w:val="28"/>
          <w:szCs w:val="28"/>
        </w:rPr>
        <w:t xml:space="preserve"> больше по сравнению с прошлым годом</w:t>
      </w:r>
      <w:r w:rsidR="00FF7951">
        <w:rPr>
          <w:sz w:val="28"/>
          <w:szCs w:val="28"/>
        </w:rPr>
        <w:t xml:space="preserve"> (Рисунок 1).</w:t>
      </w:r>
    </w:p>
    <w:p w:rsidR="00FF7951" w:rsidRDefault="00FF7951" w:rsidP="00315D03">
      <w:pPr>
        <w:jc w:val="both"/>
        <w:rPr>
          <w:sz w:val="28"/>
          <w:szCs w:val="28"/>
        </w:rPr>
      </w:pPr>
    </w:p>
    <w:p w:rsidR="00FF7951" w:rsidRPr="00315D03" w:rsidRDefault="00FF7951" w:rsidP="00315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FF7951">
        <w:rPr>
          <w:sz w:val="28"/>
          <w:szCs w:val="28"/>
          <w:u w:val="single"/>
        </w:rPr>
        <w:t>Рисунок 1</w:t>
      </w:r>
      <w:r>
        <w:rPr>
          <w:sz w:val="28"/>
          <w:szCs w:val="28"/>
        </w:rPr>
        <w:t>.</w:t>
      </w:r>
    </w:p>
    <w:p w:rsidR="00050C5A" w:rsidRPr="00050C5A" w:rsidRDefault="00213448" w:rsidP="00050C5A">
      <w:pPr>
        <w:keepNext/>
        <w:jc w:val="both"/>
      </w:pPr>
      <w:r>
        <w:rPr>
          <w:noProof/>
        </w:rPr>
        <w:drawing>
          <wp:inline distT="0" distB="0" distL="0" distR="0">
            <wp:extent cx="6191250" cy="3467100"/>
            <wp:effectExtent l="19050" t="0" r="0" b="0"/>
            <wp:docPr id="1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01F9" w:rsidRDefault="008B01F9" w:rsidP="00EF1A2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F1A23" w:rsidRPr="00906991" w:rsidRDefault="00EF1A23" w:rsidP="00EF1A23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proofErr w:type="gramStart"/>
      <w:r w:rsidRPr="00C83EE3">
        <w:rPr>
          <w:color w:val="000000"/>
          <w:sz w:val="28"/>
          <w:szCs w:val="28"/>
        </w:rPr>
        <w:t xml:space="preserve">Согласно опросу число респондентов в возрасте от 18-24 лет принявших участие в опросе </w:t>
      </w:r>
      <w:r w:rsidR="007D7796">
        <w:rPr>
          <w:color w:val="000000"/>
          <w:sz w:val="28"/>
          <w:szCs w:val="28"/>
        </w:rPr>
        <w:t>42</w:t>
      </w:r>
      <w:r w:rsidRPr="00C83EE3">
        <w:rPr>
          <w:color w:val="000000"/>
          <w:sz w:val="28"/>
          <w:szCs w:val="28"/>
        </w:rPr>
        <w:t xml:space="preserve"> чело</w:t>
      </w:r>
      <w:r w:rsidR="00CF5499">
        <w:rPr>
          <w:color w:val="000000"/>
          <w:sz w:val="28"/>
          <w:szCs w:val="28"/>
        </w:rPr>
        <w:t xml:space="preserve">век, что составляет </w:t>
      </w:r>
      <w:r w:rsidR="00577E9D">
        <w:rPr>
          <w:color w:val="000000"/>
          <w:sz w:val="28"/>
          <w:szCs w:val="28"/>
        </w:rPr>
        <w:t>1</w:t>
      </w:r>
      <w:r w:rsidR="007D7796">
        <w:rPr>
          <w:color w:val="000000"/>
          <w:sz w:val="28"/>
          <w:szCs w:val="28"/>
        </w:rPr>
        <w:t>6</w:t>
      </w:r>
      <w:r w:rsidR="00BB11DF">
        <w:rPr>
          <w:color w:val="000000"/>
          <w:sz w:val="28"/>
          <w:szCs w:val="28"/>
        </w:rPr>
        <w:t>,</w:t>
      </w:r>
      <w:r w:rsidR="007D7796">
        <w:rPr>
          <w:color w:val="000000"/>
          <w:sz w:val="28"/>
          <w:szCs w:val="28"/>
        </w:rPr>
        <w:t>6</w:t>
      </w:r>
      <w:r w:rsidR="00CF5499">
        <w:rPr>
          <w:color w:val="000000"/>
          <w:sz w:val="28"/>
          <w:szCs w:val="28"/>
        </w:rPr>
        <w:t xml:space="preserve"> %</w:t>
      </w:r>
      <w:r w:rsidRPr="00C83EE3">
        <w:rPr>
          <w:color w:val="000000"/>
          <w:sz w:val="28"/>
          <w:szCs w:val="28"/>
        </w:rPr>
        <w:t xml:space="preserve"> от общего количества опрошенных лиц, от 25</w:t>
      </w:r>
      <w:r w:rsidR="00577E9D">
        <w:rPr>
          <w:color w:val="000000"/>
          <w:sz w:val="28"/>
          <w:szCs w:val="28"/>
        </w:rPr>
        <w:t xml:space="preserve"> </w:t>
      </w:r>
      <w:r w:rsidRPr="00C83EE3">
        <w:rPr>
          <w:color w:val="000000"/>
          <w:sz w:val="28"/>
          <w:szCs w:val="28"/>
        </w:rPr>
        <w:t>-</w:t>
      </w:r>
      <w:r w:rsidR="00577E9D">
        <w:rPr>
          <w:color w:val="000000"/>
          <w:sz w:val="28"/>
          <w:szCs w:val="28"/>
        </w:rPr>
        <w:t xml:space="preserve"> </w:t>
      </w:r>
      <w:r w:rsidRPr="00C83EE3">
        <w:rPr>
          <w:color w:val="000000"/>
          <w:sz w:val="28"/>
          <w:szCs w:val="28"/>
        </w:rPr>
        <w:t xml:space="preserve">34 лет </w:t>
      </w:r>
      <w:r w:rsidR="00830DDE">
        <w:rPr>
          <w:color w:val="000000"/>
          <w:sz w:val="28"/>
          <w:szCs w:val="28"/>
        </w:rPr>
        <w:t>-</w:t>
      </w:r>
      <w:r w:rsidRPr="00C83EE3">
        <w:rPr>
          <w:color w:val="000000"/>
          <w:sz w:val="28"/>
          <w:szCs w:val="28"/>
        </w:rPr>
        <w:t xml:space="preserve"> </w:t>
      </w:r>
      <w:r w:rsidR="007D7796">
        <w:rPr>
          <w:color w:val="000000"/>
          <w:sz w:val="28"/>
          <w:szCs w:val="28"/>
        </w:rPr>
        <w:t>56</w:t>
      </w:r>
      <w:r w:rsidRPr="00C83EE3">
        <w:rPr>
          <w:color w:val="000000"/>
          <w:sz w:val="28"/>
          <w:szCs w:val="28"/>
        </w:rPr>
        <w:t xml:space="preserve"> человек, или </w:t>
      </w:r>
      <w:r w:rsidR="00BB11DF">
        <w:rPr>
          <w:color w:val="000000"/>
          <w:sz w:val="28"/>
          <w:szCs w:val="28"/>
        </w:rPr>
        <w:t>2</w:t>
      </w:r>
      <w:r w:rsidR="007D7796">
        <w:rPr>
          <w:color w:val="000000"/>
          <w:sz w:val="28"/>
          <w:szCs w:val="28"/>
        </w:rPr>
        <w:t>2</w:t>
      </w:r>
      <w:r w:rsidR="00BB11DF">
        <w:rPr>
          <w:color w:val="000000"/>
          <w:sz w:val="28"/>
          <w:szCs w:val="28"/>
        </w:rPr>
        <w:t>,</w:t>
      </w:r>
      <w:r w:rsidR="007D7796">
        <w:rPr>
          <w:color w:val="000000"/>
          <w:sz w:val="28"/>
          <w:szCs w:val="28"/>
        </w:rPr>
        <w:t>1</w:t>
      </w:r>
      <w:r w:rsidRPr="00C83EE3">
        <w:rPr>
          <w:color w:val="000000"/>
          <w:sz w:val="28"/>
          <w:szCs w:val="28"/>
        </w:rPr>
        <w:t xml:space="preserve"> </w:t>
      </w:r>
      <w:r w:rsidR="00CF5499">
        <w:rPr>
          <w:color w:val="000000"/>
          <w:sz w:val="28"/>
          <w:szCs w:val="28"/>
        </w:rPr>
        <w:t>%</w:t>
      </w:r>
      <w:r w:rsidRPr="00C83EE3">
        <w:rPr>
          <w:color w:val="000000"/>
          <w:sz w:val="28"/>
          <w:szCs w:val="28"/>
        </w:rPr>
        <w:t xml:space="preserve">, </w:t>
      </w:r>
      <w:r w:rsidR="00577E9D">
        <w:rPr>
          <w:color w:val="000000"/>
          <w:sz w:val="28"/>
          <w:szCs w:val="28"/>
        </w:rPr>
        <w:t>б</w:t>
      </w:r>
      <w:r w:rsidR="00577E9D" w:rsidRPr="00C83EE3">
        <w:rPr>
          <w:color w:val="000000"/>
          <w:sz w:val="28"/>
          <w:szCs w:val="28"/>
        </w:rPr>
        <w:t xml:space="preserve">ольшинство </w:t>
      </w:r>
      <w:r w:rsidR="00577E9D" w:rsidRPr="00C83EE3">
        <w:rPr>
          <w:color w:val="000000"/>
          <w:sz w:val="28"/>
          <w:szCs w:val="28"/>
        </w:rPr>
        <w:lastRenderedPageBreak/>
        <w:t xml:space="preserve">опрошенных </w:t>
      </w:r>
      <w:r w:rsidR="00577E9D" w:rsidRPr="00C813E3">
        <w:rPr>
          <w:color w:val="000000"/>
          <w:sz w:val="28"/>
          <w:szCs w:val="28"/>
        </w:rPr>
        <w:t xml:space="preserve">респондентов было в возрасте </w:t>
      </w:r>
      <w:r w:rsidRPr="00C83EE3">
        <w:rPr>
          <w:color w:val="000000"/>
          <w:sz w:val="28"/>
          <w:szCs w:val="28"/>
        </w:rPr>
        <w:t>от 35</w:t>
      </w:r>
      <w:r w:rsidR="00577E9D">
        <w:rPr>
          <w:color w:val="000000"/>
          <w:sz w:val="28"/>
          <w:szCs w:val="28"/>
        </w:rPr>
        <w:t xml:space="preserve"> </w:t>
      </w:r>
      <w:r w:rsidRPr="00C83EE3">
        <w:rPr>
          <w:color w:val="000000"/>
          <w:sz w:val="28"/>
          <w:szCs w:val="28"/>
        </w:rPr>
        <w:t>-</w:t>
      </w:r>
      <w:r w:rsidR="00577E9D">
        <w:rPr>
          <w:color w:val="000000"/>
          <w:sz w:val="28"/>
          <w:szCs w:val="28"/>
        </w:rPr>
        <w:t xml:space="preserve"> </w:t>
      </w:r>
      <w:r w:rsidRPr="00C83EE3">
        <w:rPr>
          <w:color w:val="000000"/>
          <w:sz w:val="28"/>
          <w:szCs w:val="28"/>
        </w:rPr>
        <w:t xml:space="preserve">44 лет </w:t>
      </w:r>
      <w:r w:rsidR="00830DDE">
        <w:rPr>
          <w:color w:val="000000"/>
          <w:sz w:val="28"/>
          <w:szCs w:val="28"/>
        </w:rPr>
        <w:t>-</w:t>
      </w:r>
      <w:r w:rsidRPr="00C83EE3">
        <w:rPr>
          <w:color w:val="000000"/>
          <w:sz w:val="28"/>
          <w:szCs w:val="28"/>
        </w:rPr>
        <w:t xml:space="preserve"> </w:t>
      </w:r>
      <w:r w:rsidR="007D7796">
        <w:rPr>
          <w:color w:val="000000"/>
          <w:sz w:val="28"/>
          <w:szCs w:val="28"/>
        </w:rPr>
        <w:t>73</w:t>
      </w:r>
      <w:r w:rsidRPr="00C83EE3">
        <w:rPr>
          <w:color w:val="000000"/>
          <w:sz w:val="28"/>
          <w:szCs w:val="28"/>
        </w:rPr>
        <w:t xml:space="preserve"> человек, или </w:t>
      </w:r>
      <w:r w:rsidR="00830DDE">
        <w:rPr>
          <w:color w:val="000000"/>
          <w:sz w:val="28"/>
          <w:szCs w:val="28"/>
        </w:rPr>
        <w:t xml:space="preserve"> </w:t>
      </w:r>
      <w:r w:rsidR="007D7796">
        <w:rPr>
          <w:color w:val="000000"/>
          <w:sz w:val="28"/>
          <w:szCs w:val="28"/>
        </w:rPr>
        <w:t>28,9</w:t>
      </w:r>
      <w:r w:rsidRPr="00C83EE3">
        <w:rPr>
          <w:color w:val="000000"/>
          <w:sz w:val="28"/>
          <w:szCs w:val="28"/>
        </w:rPr>
        <w:t xml:space="preserve"> </w:t>
      </w:r>
      <w:r w:rsidR="00CF5499">
        <w:rPr>
          <w:color w:val="000000"/>
          <w:sz w:val="28"/>
          <w:szCs w:val="28"/>
        </w:rPr>
        <w:t>%</w:t>
      </w:r>
      <w:r w:rsidR="00577E9D">
        <w:rPr>
          <w:color w:val="000000"/>
          <w:sz w:val="28"/>
          <w:szCs w:val="28"/>
        </w:rPr>
        <w:t xml:space="preserve">, </w:t>
      </w:r>
      <w:r w:rsidRPr="00C813E3">
        <w:rPr>
          <w:color w:val="000000"/>
          <w:sz w:val="28"/>
          <w:szCs w:val="28"/>
        </w:rPr>
        <w:t xml:space="preserve">от 45 года до 54 лет </w:t>
      </w:r>
      <w:r w:rsidR="00830DDE">
        <w:rPr>
          <w:color w:val="000000"/>
          <w:sz w:val="28"/>
          <w:szCs w:val="28"/>
        </w:rPr>
        <w:t>-</w:t>
      </w:r>
      <w:r w:rsidR="00577E9D">
        <w:rPr>
          <w:color w:val="000000"/>
          <w:sz w:val="28"/>
          <w:szCs w:val="28"/>
        </w:rPr>
        <w:t xml:space="preserve"> </w:t>
      </w:r>
      <w:r w:rsidR="007D7796">
        <w:rPr>
          <w:color w:val="000000"/>
          <w:sz w:val="28"/>
          <w:szCs w:val="28"/>
        </w:rPr>
        <w:t>45</w:t>
      </w:r>
      <w:r w:rsidRPr="00C813E3">
        <w:rPr>
          <w:color w:val="000000"/>
          <w:sz w:val="28"/>
          <w:szCs w:val="28"/>
        </w:rPr>
        <w:t xml:space="preserve"> человек, что составило </w:t>
      </w:r>
      <w:r w:rsidR="007D7796">
        <w:rPr>
          <w:color w:val="000000"/>
          <w:sz w:val="28"/>
          <w:szCs w:val="28"/>
        </w:rPr>
        <w:t>17</w:t>
      </w:r>
      <w:r w:rsidR="00BB11DF">
        <w:rPr>
          <w:color w:val="000000"/>
          <w:sz w:val="28"/>
          <w:szCs w:val="28"/>
        </w:rPr>
        <w:t>,</w:t>
      </w:r>
      <w:r w:rsidR="007D7796">
        <w:rPr>
          <w:color w:val="000000"/>
          <w:sz w:val="28"/>
          <w:szCs w:val="28"/>
        </w:rPr>
        <w:t>8</w:t>
      </w:r>
      <w:r w:rsidR="00BB11DF">
        <w:rPr>
          <w:color w:val="000000"/>
          <w:sz w:val="28"/>
          <w:szCs w:val="28"/>
        </w:rPr>
        <w:t xml:space="preserve"> </w:t>
      </w:r>
      <w:r w:rsidR="00CF5499">
        <w:rPr>
          <w:color w:val="000000"/>
          <w:sz w:val="28"/>
          <w:szCs w:val="28"/>
        </w:rPr>
        <w:t>%</w:t>
      </w:r>
      <w:r w:rsidRPr="00C813E3">
        <w:rPr>
          <w:color w:val="000000"/>
          <w:sz w:val="28"/>
          <w:szCs w:val="28"/>
        </w:rPr>
        <w:t>, от 55 до 64</w:t>
      </w:r>
      <w:proofErr w:type="gramEnd"/>
      <w:r w:rsidRPr="00C813E3">
        <w:rPr>
          <w:color w:val="000000"/>
          <w:sz w:val="28"/>
          <w:szCs w:val="28"/>
        </w:rPr>
        <w:t xml:space="preserve"> лет </w:t>
      </w:r>
      <w:r w:rsidR="00830DDE">
        <w:rPr>
          <w:color w:val="000000"/>
          <w:sz w:val="28"/>
          <w:szCs w:val="28"/>
        </w:rPr>
        <w:t>-</w:t>
      </w:r>
      <w:r w:rsidRPr="00C813E3">
        <w:rPr>
          <w:color w:val="000000"/>
          <w:sz w:val="28"/>
          <w:szCs w:val="28"/>
        </w:rPr>
        <w:t xml:space="preserve"> </w:t>
      </w:r>
      <w:r w:rsidR="00577E9D">
        <w:rPr>
          <w:color w:val="000000"/>
          <w:sz w:val="28"/>
          <w:szCs w:val="28"/>
        </w:rPr>
        <w:t>2</w:t>
      </w:r>
      <w:r w:rsidR="007D779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 это</w:t>
      </w:r>
      <w:r w:rsidR="00BB11DF">
        <w:rPr>
          <w:color w:val="000000"/>
          <w:sz w:val="28"/>
          <w:szCs w:val="28"/>
        </w:rPr>
        <w:t xml:space="preserve"> 1</w:t>
      </w:r>
      <w:r w:rsidR="007D7796">
        <w:rPr>
          <w:color w:val="000000"/>
          <w:sz w:val="28"/>
          <w:szCs w:val="28"/>
        </w:rPr>
        <w:t>1</w:t>
      </w:r>
      <w:r w:rsidR="00BB11DF">
        <w:rPr>
          <w:color w:val="000000"/>
          <w:sz w:val="28"/>
          <w:szCs w:val="28"/>
        </w:rPr>
        <w:t>,</w:t>
      </w:r>
      <w:r w:rsidR="007D7796">
        <w:rPr>
          <w:color w:val="000000"/>
          <w:sz w:val="28"/>
          <w:szCs w:val="28"/>
        </w:rPr>
        <w:t>5</w:t>
      </w:r>
      <w:r w:rsidRPr="00C813E3">
        <w:rPr>
          <w:color w:val="000000"/>
          <w:sz w:val="28"/>
          <w:szCs w:val="28"/>
        </w:rPr>
        <w:t xml:space="preserve"> </w:t>
      </w:r>
      <w:r w:rsidR="00CF5499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от общего числа опрошенных респондентов</w:t>
      </w:r>
      <w:r w:rsidRPr="00C813E3">
        <w:rPr>
          <w:color w:val="000000"/>
          <w:sz w:val="28"/>
          <w:szCs w:val="28"/>
        </w:rPr>
        <w:t xml:space="preserve">,  65 и старше </w:t>
      </w:r>
      <w:r w:rsidR="00577E9D">
        <w:rPr>
          <w:color w:val="000000"/>
          <w:sz w:val="28"/>
          <w:szCs w:val="28"/>
        </w:rPr>
        <w:t xml:space="preserve">- </w:t>
      </w:r>
      <w:r w:rsidR="007D7796">
        <w:rPr>
          <w:color w:val="000000"/>
          <w:sz w:val="28"/>
          <w:szCs w:val="28"/>
        </w:rPr>
        <w:t>8</w:t>
      </w:r>
      <w:r w:rsidR="00830DDE">
        <w:rPr>
          <w:color w:val="000000"/>
          <w:sz w:val="28"/>
          <w:szCs w:val="28"/>
        </w:rPr>
        <w:t xml:space="preserve"> человека, или </w:t>
      </w:r>
      <w:r w:rsidR="007D7796">
        <w:rPr>
          <w:color w:val="000000"/>
          <w:sz w:val="28"/>
          <w:szCs w:val="28"/>
        </w:rPr>
        <w:t>3</w:t>
      </w:r>
      <w:r w:rsidR="00BB11DF">
        <w:rPr>
          <w:color w:val="000000"/>
          <w:sz w:val="28"/>
          <w:szCs w:val="28"/>
        </w:rPr>
        <w:t>,</w:t>
      </w:r>
      <w:r w:rsidR="007D7796">
        <w:rPr>
          <w:color w:val="000000"/>
          <w:sz w:val="28"/>
          <w:szCs w:val="28"/>
        </w:rPr>
        <w:t>2</w:t>
      </w:r>
      <w:r w:rsidR="00BB11DF">
        <w:rPr>
          <w:color w:val="000000"/>
          <w:sz w:val="28"/>
          <w:szCs w:val="28"/>
        </w:rPr>
        <w:t xml:space="preserve"> </w:t>
      </w:r>
      <w:r w:rsidR="00CF5499">
        <w:rPr>
          <w:color w:val="000000"/>
          <w:sz w:val="28"/>
          <w:szCs w:val="28"/>
        </w:rPr>
        <w:t>%</w:t>
      </w:r>
      <w:r w:rsidRPr="00C813E3">
        <w:rPr>
          <w:color w:val="000000"/>
          <w:sz w:val="28"/>
          <w:szCs w:val="28"/>
        </w:rPr>
        <w:t xml:space="preserve">. </w:t>
      </w:r>
    </w:p>
    <w:p w:rsidR="00EF1A23" w:rsidRPr="00C813E3" w:rsidRDefault="00EF1A23" w:rsidP="00EF1A2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13E3">
        <w:rPr>
          <w:color w:val="000000"/>
          <w:sz w:val="28"/>
          <w:szCs w:val="28"/>
        </w:rPr>
        <w:t>В соответствии с задачами исследования были выделены социальные группы потребителей по характеру основной деятельности.</w:t>
      </w:r>
    </w:p>
    <w:p w:rsidR="00EF1A23" w:rsidRDefault="00EF1A23" w:rsidP="00EF1A23">
      <w:pPr>
        <w:ind w:firstLine="709"/>
        <w:jc w:val="both"/>
        <w:rPr>
          <w:sz w:val="28"/>
          <w:szCs w:val="28"/>
        </w:rPr>
      </w:pPr>
      <w:r w:rsidRPr="0078787A">
        <w:rPr>
          <w:sz w:val="28"/>
          <w:szCs w:val="28"/>
        </w:rPr>
        <w:t xml:space="preserve">По социальному статусу большинство </w:t>
      </w:r>
      <w:proofErr w:type="gramStart"/>
      <w:r w:rsidRPr="0078787A">
        <w:rPr>
          <w:sz w:val="28"/>
          <w:szCs w:val="28"/>
        </w:rPr>
        <w:t>опрошенных</w:t>
      </w:r>
      <w:proofErr w:type="gramEnd"/>
      <w:r w:rsidRPr="0078787A">
        <w:rPr>
          <w:sz w:val="28"/>
          <w:szCs w:val="28"/>
        </w:rPr>
        <w:t xml:space="preserve"> в </w:t>
      </w:r>
      <w:r>
        <w:rPr>
          <w:sz w:val="28"/>
          <w:szCs w:val="28"/>
        </w:rPr>
        <w:t>Нефтекумском</w:t>
      </w:r>
      <w:r w:rsidRPr="0078787A">
        <w:rPr>
          <w:sz w:val="28"/>
          <w:szCs w:val="28"/>
        </w:rPr>
        <w:t xml:space="preserve"> </w:t>
      </w:r>
      <w:r w:rsidR="007D7796">
        <w:rPr>
          <w:sz w:val="28"/>
          <w:szCs w:val="28"/>
        </w:rPr>
        <w:t>муниципальном</w:t>
      </w:r>
      <w:r w:rsidRPr="0078787A">
        <w:rPr>
          <w:sz w:val="28"/>
          <w:szCs w:val="28"/>
        </w:rPr>
        <w:t xml:space="preserve"> округе</w:t>
      </w:r>
      <w:r>
        <w:rPr>
          <w:sz w:val="28"/>
          <w:szCs w:val="28"/>
        </w:rPr>
        <w:t xml:space="preserve"> Ставропольского края </w:t>
      </w:r>
      <w:r w:rsidRPr="0078787A">
        <w:rPr>
          <w:sz w:val="28"/>
          <w:szCs w:val="28"/>
        </w:rPr>
        <w:t xml:space="preserve"> являются работающими</w:t>
      </w:r>
      <w:r w:rsidR="00830DDE">
        <w:rPr>
          <w:sz w:val="28"/>
          <w:szCs w:val="28"/>
        </w:rPr>
        <w:t xml:space="preserve"> </w:t>
      </w:r>
      <w:r w:rsidR="007D7796">
        <w:rPr>
          <w:sz w:val="28"/>
          <w:szCs w:val="28"/>
        </w:rPr>
        <w:t>–</w:t>
      </w:r>
      <w:r w:rsidRPr="0078787A">
        <w:rPr>
          <w:sz w:val="28"/>
          <w:szCs w:val="28"/>
        </w:rPr>
        <w:t xml:space="preserve"> </w:t>
      </w:r>
      <w:r w:rsidR="00BB11DF">
        <w:rPr>
          <w:sz w:val="28"/>
          <w:szCs w:val="28"/>
        </w:rPr>
        <w:t>52</w:t>
      </w:r>
      <w:r w:rsidR="007D7796">
        <w:rPr>
          <w:sz w:val="28"/>
          <w:szCs w:val="28"/>
        </w:rPr>
        <w:t>,2% (в 2022</w:t>
      </w:r>
      <w:r w:rsidR="00CF5499">
        <w:rPr>
          <w:sz w:val="28"/>
          <w:szCs w:val="28"/>
        </w:rPr>
        <w:t xml:space="preserve"> году</w:t>
      </w:r>
      <w:r w:rsidRPr="0078787A">
        <w:rPr>
          <w:sz w:val="28"/>
          <w:szCs w:val="28"/>
        </w:rPr>
        <w:t xml:space="preserve"> </w:t>
      </w:r>
      <w:r w:rsidR="00BB11DF">
        <w:rPr>
          <w:sz w:val="28"/>
          <w:szCs w:val="28"/>
        </w:rPr>
        <w:t>–</w:t>
      </w:r>
      <w:r w:rsidRPr="0078787A">
        <w:rPr>
          <w:sz w:val="28"/>
          <w:szCs w:val="28"/>
        </w:rPr>
        <w:t xml:space="preserve"> </w:t>
      </w:r>
      <w:r w:rsidR="00BB11DF">
        <w:rPr>
          <w:sz w:val="28"/>
          <w:szCs w:val="28"/>
        </w:rPr>
        <w:t>5</w:t>
      </w:r>
      <w:r w:rsidR="007D7796">
        <w:rPr>
          <w:sz w:val="28"/>
          <w:szCs w:val="28"/>
        </w:rPr>
        <w:t>2</w:t>
      </w:r>
      <w:r>
        <w:rPr>
          <w:sz w:val="28"/>
          <w:szCs w:val="28"/>
        </w:rPr>
        <w:t>%)</w:t>
      </w:r>
      <w:r w:rsidRPr="0078787A">
        <w:rPr>
          <w:sz w:val="28"/>
          <w:szCs w:val="28"/>
        </w:rPr>
        <w:t xml:space="preserve">. Среди </w:t>
      </w:r>
      <w:r w:rsidRPr="006A3AA7">
        <w:rPr>
          <w:sz w:val="28"/>
          <w:szCs w:val="28"/>
        </w:rPr>
        <w:t xml:space="preserve">опрошенных доля предпринимателей и </w:t>
      </w:r>
      <w:proofErr w:type="spellStart"/>
      <w:r w:rsidRPr="006A3AA7">
        <w:rPr>
          <w:sz w:val="28"/>
          <w:szCs w:val="28"/>
        </w:rPr>
        <w:t>сам</w:t>
      </w:r>
      <w:r w:rsidR="00CF5499">
        <w:rPr>
          <w:sz w:val="28"/>
          <w:szCs w:val="28"/>
        </w:rPr>
        <w:t>озанятых</w:t>
      </w:r>
      <w:proofErr w:type="spellEnd"/>
      <w:r w:rsidR="00CF5499">
        <w:rPr>
          <w:sz w:val="28"/>
          <w:szCs w:val="28"/>
        </w:rPr>
        <w:t xml:space="preserve"> составила </w:t>
      </w:r>
      <w:r w:rsidR="006A4C77">
        <w:rPr>
          <w:sz w:val="28"/>
          <w:szCs w:val="28"/>
        </w:rPr>
        <w:t>6,8</w:t>
      </w:r>
      <w:r w:rsidR="00BB11DF">
        <w:rPr>
          <w:sz w:val="28"/>
          <w:szCs w:val="28"/>
        </w:rPr>
        <w:t xml:space="preserve"> </w:t>
      </w:r>
      <w:r w:rsidR="00260A2E">
        <w:rPr>
          <w:sz w:val="28"/>
          <w:szCs w:val="28"/>
        </w:rPr>
        <w:t>% (в 202</w:t>
      </w:r>
      <w:r w:rsidR="006A4C77">
        <w:rPr>
          <w:sz w:val="28"/>
          <w:szCs w:val="28"/>
        </w:rPr>
        <w:t>2</w:t>
      </w:r>
      <w:r w:rsidR="00CF5499">
        <w:rPr>
          <w:sz w:val="28"/>
          <w:szCs w:val="28"/>
        </w:rPr>
        <w:t xml:space="preserve"> году</w:t>
      </w:r>
      <w:r w:rsidRPr="006A3AA7">
        <w:rPr>
          <w:sz w:val="28"/>
          <w:szCs w:val="28"/>
        </w:rPr>
        <w:t xml:space="preserve"> </w:t>
      </w:r>
      <w:r w:rsidR="006A4C77">
        <w:rPr>
          <w:sz w:val="28"/>
          <w:szCs w:val="28"/>
        </w:rPr>
        <w:t>–</w:t>
      </w:r>
      <w:r w:rsidRPr="006A3AA7">
        <w:rPr>
          <w:sz w:val="28"/>
          <w:szCs w:val="28"/>
        </w:rPr>
        <w:t xml:space="preserve"> </w:t>
      </w:r>
      <w:r w:rsidR="006A4C77">
        <w:rPr>
          <w:sz w:val="28"/>
          <w:szCs w:val="28"/>
        </w:rPr>
        <w:t>6,5</w:t>
      </w:r>
      <w:r w:rsidRPr="006A3AA7">
        <w:rPr>
          <w:sz w:val="28"/>
          <w:szCs w:val="28"/>
        </w:rPr>
        <w:t>%),  учащ</w:t>
      </w:r>
      <w:r w:rsidR="00CF5499">
        <w:rPr>
          <w:sz w:val="28"/>
          <w:szCs w:val="28"/>
        </w:rPr>
        <w:t xml:space="preserve">ихся/студентов </w:t>
      </w:r>
      <w:r w:rsidR="00BB11DF">
        <w:rPr>
          <w:sz w:val="28"/>
          <w:szCs w:val="28"/>
        </w:rPr>
        <w:t>–</w:t>
      </w:r>
      <w:r w:rsidR="00CF5499">
        <w:rPr>
          <w:sz w:val="28"/>
          <w:szCs w:val="28"/>
        </w:rPr>
        <w:t xml:space="preserve"> </w:t>
      </w:r>
      <w:r w:rsidR="006A4C77">
        <w:rPr>
          <w:sz w:val="28"/>
          <w:szCs w:val="28"/>
        </w:rPr>
        <w:t>11,1</w:t>
      </w:r>
      <w:r w:rsidR="00260A2E">
        <w:rPr>
          <w:sz w:val="28"/>
          <w:szCs w:val="28"/>
        </w:rPr>
        <w:t>% (в 202</w:t>
      </w:r>
      <w:r w:rsidR="006A4C77">
        <w:rPr>
          <w:sz w:val="28"/>
          <w:szCs w:val="28"/>
        </w:rPr>
        <w:t>2</w:t>
      </w:r>
      <w:r w:rsidR="00CF5499">
        <w:rPr>
          <w:sz w:val="28"/>
          <w:szCs w:val="28"/>
        </w:rPr>
        <w:t xml:space="preserve"> году</w:t>
      </w:r>
      <w:r w:rsidRPr="006A3AA7">
        <w:rPr>
          <w:sz w:val="28"/>
          <w:szCs w:val="28"/>
        </w:rPr>
        <w:t xml:space="preserve"> </w:t>
      </w:r>
      <w:r w:rsidR="00BB11DF">
        <w:rPr>
          <w:sz w:val="28"/>
          <w:szCs w:val="28"/>
        </w:rPr>
        <w:t>–</w:t>
      </w:r>
      <w:r w:rsidRPr="006A3AA7">
        <w:rPr>
          <w:sz w:val="28"/>
          <w:szCs w:val="28"/>
        </w:rPr>
        <w:t xml:space="preserve"> </w:t>
      </w:r>
      <w:r w:rsidR="006A4C77">
        <w:rPr>
          <w:sz w:val="28"/>
          <w:szCs w:val="28"/>
        </w:rPr>
        <w:t>9</w:t>
      </w:r>
      <w:r w:rsidR="00BB11DF">
        <w:rPr>
          <w:sz w:val="28"/>
          <w:szCs w:val="28"/>
        </w:rPr>
        <w:t>,</w:t>
      </w:r>
      <w:r w:rsidR="006A4C77">
        <w:rPr>
          <w:sz w:val="28"/>
          <w:szCs w:val="28"/>
        </w:rPr>
        <w:t>9</w:t>
      </w:r>
      <w:r w:rsidRPr="006A3AA7">
        <w:rPr>
          <w:sz w:val="28"/>
          <w:szCs w:val="28"/>
        </w:rPr>
        <w:t>%). Неработающие (в том числе пенсионеры, домохозяйки и безработ</w:t>
      </w:r>
      <w:r w:rsidR="00CF5499">
        <w:rPr>
          <w:sz w:val="28"/>
          <w:szCs w:val="28"/>
        </w:rPr>
        <w:t xml:space="preserve">ные) составили  </w:t>
      </w:r>
      <w:r w:rsidR="00BB11DF">
        <w:rPr>
          <w:sz w:val="28"/>
          <w:szCs w:val="28"/>
        </w:rPr>
        <w:t>3</w:t>
      </w:r>
      <w:r w:rsidR="006A4C77">
        <w:rPr>
          <w:sz w:val="28"/>
          <w:szCs w:val="28"/>
        </w:rPr>
        <w:t>0</w:t>
      </w:r>
      <w:r w:rsidR="00BB11DF">
        <w:rPr>
          <w:sz w:val="28"/>
          <w:szCs w:val="28"/>
        </w:rPr>
        <w:t>,</w:t>
      </w:r>
      <w:r w:rsidR="006A4C77">
        <w:rPr>
          <w:sz w:val="28"/>
          <w:szCs w:val="28"/>
        </w:rPr>
        <w:t>1</w:t>
      </w:r>
      <w:r w:rsidR="00260A2E">
        <w:rPr>
          <w:sz w:val="28"/>
          <w:szCs w:val="28"/>
        </w:rPr>
        <w:t>% (в 202</w:t>
      </w:r>
      <w:r w:rsidR="006A4C77">
        <w:rPr>
          <w:sz w:val="28"/>
          <w:szCs w:val="28"/>
        </w:rPr>
        <w:t>2</w:t>
      </w:r>
      <w:r w:rsidR="00CF5499">
        <w:rPr>
          <w:sz w:val="28"/>
          <w:szCs w:val="28"/>
        </w:rPr>
        <w:t xml:space="preserve"> году</w:t>
      </w:r>
      <w:r w:rsidRPr="006A3AA7">
        <w:rPr>
          <w:sz w:val="28"/>
          <w:szCs w:val="28"/>
        </w:rPr>
        <w:t xml:space="preserve"> </w:t>
      </w:r>
      <w:r w:rsidR="00BB11DF">
        <w:rPr>
          <w:sz w:val="28"/>
          <w:szCs w:val="28"/>
        </w:rPr>
        <w:t>–</w:t>
      </w:r>
      <w:r w:rsidRPr="006A3AA7">
        <w:rPr>
          <w:sz w:val="28"/>
          <w:szCs w:val="28"/>
        </w:rPr>
        <w:t xml:space="preserve"> </w:t>
      </w:r>
      <w:r w:rsidR="00BB11DF">
        <w:rPr>
          <w:sz w:val="28"/>
          <w:szCs w:val="28"/>
        </w:rPr>
        <w:t>3</w:t>
      </w:r>
      <w:r w:rsidR="006A4C77">
        <w:rPr>
          <w:sz w:val="28"/>
          <w:szCs w:val="28"/>
        </w:rPr>
        <w:t>1</w:t>
      </w:r>
      <w:r w:rsidR="00BB11DF">
        <w:rPr>
          <w:sz w:val="28"/>
          <w:szCs w:val="28"/>
        </w:rPr>
        <w:t>,</w:t>
      </w:r>
      <w:r w:rsidR="006A4C77">
        <w:rPr>
          <w:sz w:val="28"/>
          <w:szCs w:val="28"/>
        </w:rPr>
        <w:t>6</w:t>
      </w:r>
      <w:r w:rsidRPr="006A3AA7">
        <w:rPr>
          <w:sz w:val="28"/>
          <w:szCs w:val="28"/>
        </w:rPr>
        <w:t>%)</w:t>
      </w:r>
      <w:r w:rsidR="00595B24">
        <w:rPr>
          <w:sz w:val="28"/>
          <w:szCs w:val="28"/>
        </w:rPr>
        <w:t xml:space="preserve"> (Рисунок 2</w:t>
      </w:r>
      <w:r>
        <w:rPr>
          <w:sz w:val="28"/>
          <w:szCs w:val="28"/>
        </w:rPr>
        <w:t>)</w:t>
      </w:r>
      <w:r w:rsidRPr="006A3AA7">
        <w:rPr>
          <w:sz w:val="28"/>
          <w:szCs w:val="28"/>
        </w:rPr>
        <w:t>.</w:t>
      </w:r>
    </w:p>
    <w:p w:rsidR="00595B24" w:rsidRDefault="00595B24" w:rsidP="00595B2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 2.</w:t>
      </w:r>
    </w:p>
    <w:p w:rsidR="00FC6277" w:rsidRDefault="00B727EE" w:rsidP="00FC6277">
      <w:pPr>
        <w:jc w:val="both"/>
        <w:rPr>
          <w:sz w:val="28"/>
          <w:szCs w:val="28"/>
        </w:rPr>
      </w:pPr>
      <w:r w:rsidRPr="00B727EE">
        <w:rPr>
          <w:noProof/>
          <w:sz w:val="28"/>
          <w:szCs w:val="28"/>
        </w:rPr>
        <w:drawing>
          <wp:inline distT="0" distB="0" distL="0" distR="0">
            <wp:extent cx="6071199" cy="2518913"/>
            <wp:effectExtent l="0" t="0" r="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5B24" w:rsidRDefault="00595B24" w:rsidP="00DA3160">
      <w:pPr>
        <w:ind w:firstLine="709"/>
        <w:jc w:val="both"/>
        <w:rPr>
          <w:sz w:val="28"/>
          <w:szCs w:val="28"/>
        </w:rPr>
      </w:pPr>
    </w:p>
    <w:p w:rsidR="001E1695" w:rsidRDefault="0056779D" w:rsidP="000B7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110C99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числа</w:t>
      </w:r>
      <w:r w:rsidR="00982877">
        <w:rPr>
          <w:sz w:val="28"/>
          <w:szCs w:val="28"/>
        </w:rPr>
        <w:t xml:space="preserve"> </w:t>
      </w:r>
      <w:r w:rsidR="002C75C4">
        <w:rPr>
          <w:sz w:val="28"/>
          <w:szCs w:val="28"/>
        </w:rPr>
        <w:t xml:space="preserve">респондентов по уровню образования: </w:t>
      </w:r>
      <w:r w:rsidR="00895EEE">
        <w:rPr>
          <w:sz w:val="28"/>
          <w:szCs w:val="28"/>
        </w:rPr>
        <w:t xml:space="preserve">численность имеющих основное и среднее общее образование составило </w:t>
      </w:r>
      <w:r w:rsidR="00260A2E">
        <w:rPr>
          <w:sz w:val="28"/>
          <w:szCs w:val="28"/>
        </w:rPr>
        <w:t>3</w:t>
      </w:r>
      <w:r w:rsidR="003D7583">
        <w:rPr>
          <w:sz w:val="28"/>
          <w:szCs w:val="28"/>
        </w:rPr>
        <w:t>1,6</w:t>
      </w:r>
      <w:r w:rsidR="00895EEE">
        <w:rPr>
          <w:sz w:val="28"/>
          <w:szCs w:val="28"/>
        </w:rPr>
        <w:t xml:space="preserve"> % и </w:t>
      </w:r>
      <w:r w:rsidR="00260A2E">
        <w:rPr>
          <w:sz w:val="28"/>
          <w:szCs w:val="28"/>
        </w:rPr>
        <w:t>увеличилось</w:t>
      </w:r>
      <w:r w:rsidR="00895EEE">
        <w:rPr>
          <w:sz w:val="28"/>
          <w:szCs w:val="28"/>
        </w:rPr>
        <w:t xml:space="preserve"> по сравнению с прошлым годом на </w:t>
      </w:r>
      <w:r w:rsidR="003D7583">
        <w:rPr>
          <w:sz w:val="28"/>
          <w:szCs w:val="28"/>
        </w:rPr>
        <w:t>1,4</w:t>
      </w:r>
      <w:r w:rsidR="00895EEE">
        <w:rPr>
          <w:sz w:val="28"/>
          <w:szCs w:val="28"/>
        </w:rPr>
        <w:t>%</w:t>
      </w:r>
      <w:r w:rsidR="006D4D28">
        <w:rPr>
          <w:sz w:val="28"/>
          <w:szCs w:val="28"/>
        </w:rPr>
        <w:t xml:space="preserve"> (</w:t>
      </w:r>
      <w:r w:rsidR="00CF5499">
        <w:rPr>
          <w:sz w:val="28"/>
          <w:szCs w:val="28"/>
        </w:rPr>
        <w:t xml:space="preserve">в </w:t>
      </w:r>
      <w:r w:rsidR="00260A2E">
        <w:rPr>
          <w:sz w:val="28"/>
          <w:szCs w:val="28"/>
        </w:rPr>
        <w:t>202</w:t>
      </w:r>
      <w:r w:rsidR="003D7583">
        <w:rPr>
          <w:sz w:val="28"/>
          <w:szCs w:val="28"/>
        </w:rPr>
        <w:t>2</w:t>
      </w:r>
      <w:r w:rsidR="006D4D28">
        <w:rPr>
          <w:sz w:val="28"/>
          <w:szCs w:val="28"/>
        </w:rPr>
        <w:t xml:space="preserve"> год</w:t>
      </w:r>
      <w:r w:rsidR="00CF5499">
        <w:rPr>
          <w:sz w:val="28"/>
          <w:szCs w:val="28"/>
        </w:rPr>
        <w:t>у</w:t>
      </w:r>
      <w:r w:rsidR="006D4D28">
        <w:rPr>
          <w:sz w:val="28"/>
          <w:szCs w:val="28"/>
        </w:rPr>
        <w:t xml:space="preserve"> </w:t>
      </w:r>
      <w:r w:rsidR="00260A2E">
        <w:rPr>
          <w:sz w:val="28"/>
          <w:szCs w:val="28"/>
        </w:rPr>
        <w:t>–</w:t>
      </w:r>
      <w:r w:rsidR="006D4D28">
        <w:rPr>
          <w:sz w:val="28"/>
          <w:szCs w:val="28"/>
        </w:rPr>
        <w:t xml:space="preserve"> </w:t>
      </w:r>
      <w:r w:rsidR="003D7583">
        <w:rPr>
          <w:sz w:val="28"/>
          <w:szCs w:val="28"/>
        </w:rPr>
        <w:t>30,2</w:t>
      </w:r>
      <w:r w:rsidR="006D4D28">
        <w:rPr>
          <w:sz w:val="28"/>
          <w:szCs w:val="28"/>
        </w:rPr>
        <w:t xml:space="preserve"> %)</w:t>
      </w:r>
      <w:r w:rsidR="00895EEE">
        <w:rPr>
          <w:sz w:val="28"/>
          <w:szCs w:val="28"/>
        </w:rPr>
        <w:t xml:space="preserve">, </w:t>
      </w:r>
      <w:r w:rsidR="006D4D28">
        <w:rPr>
          <w:sz w:val="28"/>
          <w:szCs w:val="28"/>
        </w:rPr>
        <w:t xml:space="preserve">численность респондентов имеющих </w:t>
      </w:r>
      <w:r w:rsidR="00454672" w:rsidRPr="00063377">
        <w:rPr>
          <w:sz w:val="28"/>
          <w:szCs w:val="28"/>
        </w:rPr>
        <w:t xml:space="preserve">среднее </w:t>
      </w:r>
      <w:r w:rsidR="00454672">
        <w:rPr>
          <w:sz w:val="28"/>
          <w:szCs w:val="28"/>
        </w:rPr>
        <w:t>профессиональное</w:t>
      </w:r>
      <w:r w:rsidR="00454672" w:rsidRPr="00063377">
        <w:rPr>
          <w:sz w:val="28"/>
          <w:szCs w:val="28"/>
        </w:rPr>
        <w:t xml:space="preserve"> образование</w:t>
      </w:r>
      <w:r w:rsidR="00454672">
        <w:rPr>
          <w:sz w:val="28"/>
          <w:szCs w:val="28"/>
        </w:rPr>
        <w:t xml:space="preserve"> уменьшилось на </w:t>
      </w:r>
      <w:r w:rsidR="00AF3C02">
        <w:rPr>
          <w:sz w:val="28"/>
          <w:szCs w:val="28"/>
        </w:rPr>
        <w:t>1,5</w:t>
      </w:r>
      <w:r w:rsidR="00260A2E">
        <w:rPr>
          <w:sz w:val="28"/>
          <w:szCs w:val="28"/>
        </w:rPr>
        <w:t xml:space="preserve"> </w:t>
      </w:r>
      <w:r w:rsidR="00454672">
        <w:rPr>
          <w:sz w:val="28"/>
          <w:szCs w:val="28"/>
        </w:rPr>
        <w:t>%</w:t>
      </w:r>
      <w:r w:rsidR="00454672" w:rsidRPr="00063377">
        <w:rPr>
          <w:sz w:val="28"/>
          <w:szCs w:val="28"/>
        </w:rPr>
        <w:t xml:space="preserve"> </w:t>
      </w:r>
      <w:r w:rsidR="00454672">
        <w:rPr>
          <w:sz w:val="28"/>
          <w:szCs w:val="28"/>
        </w:rPr>
        <w:t xml:space="preserve"> и составило </w:t>
      </w:r>
      <w:r w:rsidR="006D4D28">
        <w:rPr>
          <w:sz w:val="28"/>
          <w:szCs w:val="28"/>
        </w:rPr>
        <w:t xml:space="preserve">  </w:t>
      </w:r>
      <w:r w:rsidR="00AF3C02">
        <w:rPr>
          <w:sz w:val="28"/>
          <w:szCs w:val="28"/>
        </w:rPr>
        <w:t>27</w:t>
      </w:r>
      <w:r w:rsidR="00BA7B98">
        <w:rPr>
          <w:sz w:val="28"/>
          <w:szCs w:val="28"/>
        </w:rPr>
        <w:t>,</w:t>
      </w:r>
      <w:r w:rsidR="00AF3C02">
        <w:rPr>
          <w:sz w:val="28"/>
          <w:szCs w:val="28"/>
        </w:rPr>
        <w:t>7</w:t>
      </w:r>
      <w:r w:rsidR="00260A2E">
        <w:rPr>
          <w:sz w:val="28"/>
          <w:szCs w:val="28"/>
        </w:rPr>
        <w:t xml:space="preserve"> % (в 202</w:t>
      </w:r>
      <w:r w:rsidR="00AF3C02">
        <w:rPr>
          <w:sz w:val="28"/>
          <w:szCs w:val="28"/>
        </w:rPr>
        <w:t>2</w:t>
      </w:r>
      <w:r w:rsidR="00454672">
        <w:rPr>
          <w:sz w:val="28"/>
          <w:szCs w:val="28"/>
        </w:rPr>
        <w:t xml:space="preserve"> году </w:t>
      </w:r>
      <w:r w:rsidR="00AF3C02">
        <w:rPr>
          <w:sz w:val="28"/>
          <w:szCs w:val="28"/>
        </w:rPr>
        <w:t>–</w:t>
      </w:r>
      <w:r w:rsidR="00454672">
        <w:rPr>
          <w:sz w:val="28"/>
          <w:szCs w:val="28"/>
        </w:rPr>
        <w:t xml:space="preserve"> </w:t>
      </w:r>
      <w:r w:rsidR="00AF3C02">
        <w:rPr>
          <w:sz w:val="28"/>
          <w:szCs w:val="28"/>
        </w:rPr>
        <w:t>29,2</w:t>
      </w:r>
      <w:r w:rsidR="00260A2E" w:rsidRPr="00260A2E">
        <w:rPr>
          <w:sz w:val="28"/>
          <w:szCs w:val="28"/>
        </w:rPr>
        <w:t xml:space="preserve"> </w:t>
      </w:r>
      <w:r w:rsidR="00454672">
        <w:rPr>
          <w:sz w:val="28"/>
          <w:szCs w:val="28"/>
        </w:rPr>
        <w:t xml:space="preserve">%), </w:t>
      </w:r>
      <w:r w:rsidR="000918A0">
        <w:rPr>
          <w:sz w:val="28"/>
          <w:szCs w:val="28"/>
        </w:rPr>
        <w:t xml:space="preserve">в сравнении с прошлым годом увеличилось </w:t>
      </w:r>
      <w:r w:rsidR="00564E8A">
        <w:rPr>
          <w:sz w:val="28"/>
          <w:szCs w:val="28"/>
        </w:rPr>
        <w:t xml:space="preserve">численность респондентов </w:t>
      </w:r>
      <w:r w:rsidR="00CF5499">
        <w:rPr>
          <w:sz w:val="28"/>
          <w:szCs w:val="28"/>
        </w:rPr>
        <w:t xml:space="preserve">с образованием высшее </w:t>
      </w:r>
      <w:proofErr w:type="gramStart"/>
      <w:r w:rsidR="00CF5499">
        <w:rPr>
          <w:sz w:val="28"/>
          <w:szCs w:val="28"/>
        </w:rPr>
        <w:t>-</w:t>
      </w:r>
      <w:proofErr w:type="spellStart"/>
      <w:r w:rsidR="00CF5499">
        <w:rPr>
          <w:sz w:val="28"/>
          <w:szCs w:val="28"/>
        </w:rPr>
        <w:t>б</w:t>
      </w:r>
      <w:proofErr w:type="gramEnd"/>
      <w:r w:rsidR="00CF5499">
        <w:rPr>
          <w:sz w:val="28"/>
          <w:szCs w:val="28"/>
        </w:rPr>
        <w:t>акалаври</w:t>
      </w:r>
      <w:r w:rsidR="00564E8A">
        <w:rPr>
          <w:sz w:val="28"/>
          <w:szCs w:val="28"/>
        </w:rPr>
        <w:t>ат</w:t>
      </w:r>
      <w:proofErr w:type="spellEnd"/>
      <w:r w:rsidR="00564E8A">
        <w:rPr>
          <w:sz w:val="28"/>
          <w:szCs w:val="28"/>
        </w:rPr>
        <w:t xml:space="preserve"> </w:t>
      </w:r>
      <w:r w:rsidR="000918A0">
        <w:rPr>
          <w:sz w:val="28"/>
          <w:szCs w:val="28"/>
        </w:rPr>
        <w:t>–</w:t>
      </w:r>
      <w:r w:rsidR="00564E8A">
        <w:rPr>
          <w:sz w:val="28"/>
          <w:szCs w:val="28"/>
        </w:rPr>
        <w:t xml:space="preserve"> </w:t>
      </w:r>
      <w:r w:rsidR="00BA7B98">
        <w:rPr>
          <w:sz w:val="28"/>
          <w:szCs w:val="28"/>
        </w:rPr>
        <w:t>1</w:t>
      </w:r>
      <w:r w:rsidR="00AF3C02">
        <w:rPr>
          <w:sz w:val="28"/>
          <w:szCs w:val="28"/>
        </w:rPr>
        <w:t>8</w:t>
      </w:r>
      <w:r w:rsidR="00BA7B98">
        <w:rPr>
          <w:sz w:val="28"/>
          <w:szCs w:val="28"/>
        </w:rPr>
        <w:t>,</w:t>
      </w:r>
      <w:r w:rsidR="00AF3C02">
        <w:rPr>
          <w:sz w:val="28"/>
          <w:szCs w:val="28"/>
        </w:rPr>
        <w:t>2</w:t>
      </w:r>
      <w:r w:rsidR="00564E8A">
        <w:rPr>
          <w:sz w:val="28"/>
          <w:szCs w:val="28"/>
        </w:rPr>
        <w:t xml:space="preserve"> % (</w:t>
      </w:r>
      <w:r w:rsidR="00CF5499">
        <w:rPr>
          <w:sz w:val="28"/>
          <w:szCs w:val="28"/>
        </w:rPr>
        <w:t xml:space="preserve">в </w:t>
      </w:r>
      <w:r w:rsidR="00260A2E">
        <w:rPr>
          <w:sz w:val="28"/>
          <w:szCs w:val="28"/>
        </w:rPr>
        <w:t>202</w:t>
      </w:r>
      <w:r w:rsidR="00AF3C02">
        <w:rPr>
          <w:sz w:val="28"/>
          <w:szCs w:val="28"/>
        </w:rPr>
        <w:t>2</w:t>
      </w:r>
      <w:r w:rsidR="00564E8A">
        <w:rPr>
          <w:sz w:val="28"/>
          <w:szCs w:val="28"/>
        </w:rPr>
        <w:t xml:space="preserve"> год</w:t>
      </w:r>
      <w:r w:rsidR="00CF5499">
        <w:rPr>
          <w:sz w:val="28"/>
          <w:szCs w:val="28"/>
        </w:rPr>
        <w:t xml:space="preserve">у </w:t>
      </w:r>
      <w:r w:rsidR="00260A2E">
        <w:rPr>
          <w:sz w:val="28"/>
          <w:szCs w:val="28"/>
        </w:rPr>
        <w:t>–</w:t>
      </w:r>
      <w:r w:rsidR="00564E8A">
        <w:rPr>
          <w:sz w:val="28"/>
          <w:szCs w:val="28"/>
        </w:rPr>
        <w:t xml:space="preserve"> </w:t>
      </w:r>
      <w:r w:rsidR="00AF3C02">
        <w:rPr>
          <w:sz w:val="28"/>
          <w:szCs w:val="28"/>
        </w:rPr>
        <w:t>13,9</w:t>
      </w:r>
      <w:r w:rsidR="00564E8A">
        <w:rPr>
          <w:sz w:val="28"/>
          <w:szCs w:val="28"/>
        </w:rPr>
        <w:t xml:space="preserve"> %) </w:t>
      </w:r>
      <w:r w:rsidR="006D4D28">
        <w:rPr>
          <w:sz w:val="28"/>
          <w:szCs w:val="28"/>
        </w:rPr>
        <w:t xml:space="preserve">в то время как число респондентов имеющих </w:t>
      </w:r>
      <w:r w:rsidR="001E7117" w:rsidRPr="00895EEE">
        <w:rPr>
          <w:sz w:val="28"/>
          <w:szCs w:val="28"/>
        </w:rPr>
        <w:t>высшее</w:t>
      </w:r>
      <w:r w:rsidR="00CF5499">
        <w:rPr>
          <w:sz w:val="28"/>
          <w:szCs w:val="28"/>
        </w:rPr>
        <w:t xml:space="preserve"> </w:t>
      </w:r>
      <w:r w:rsidR="00454672" w:rsidRPr="00895EEE">
        <w:rPr>
          <w:sz w:val="28"/>
          <w:szCs w:val="28"/>
        </w:rPr>
        <w:t>- специальное (магистратура)</w:t>
      </w:r>
      <w:r w:rsidR="001E7117" w:rsidRPr="00895EEE">
        <w:rPr>
          <w:sz w:val="28"/>
          <w:szCs w:val="28"/>
        </w:rPr>
        <w:t xml:space="preserve"> образование</w:t>
      </w:r>
      <w:r w:rsidR="00BA0363">
        <w:rPr>
          <w:sz w:val="28"/>
          <w:szCs w:val="28"/>
        </w:rPr>
        <w:t xml:space="preserve"> </w:t>
      </w:r>
      <w:r w:rsidR="000918A0">
        <w:rPr>
          <w:sz w:val="28"/>
          <w:szCs w:val="28"/>
        </w:rPr>
        <w:t>уменьшилось</w:t>
      </w:r>
      <w:r w:rsidR="00564E8A">
        <w:rPr>
          <w:sz w:val="28"/>
          <w:szCs w:val="28"/>
        </w:rPr>
        <w:t xml:space="preserve"> и </w:t>
      </w:r>
      <w:r w:rsidR="00BA0363">
        <w:rPr>
          <w:sz w:val="28"/>
          <w:szCs w:val="28"/>
        </w:rPr>
        <w:t xml:space="preserve">составило </w:t>
      </w:r>
      <w:r w:rsidR="00AF3C02">
        <w:rPr>
          <w:sz w:val="28"/>
          <w:szCs w:val="28"/>
        </w:rPr>
        <w:t>17</w:t>
      </w:r>
      <w:r w:rsidR="00BA0363">
        <w:rPr>
          <w:sz w:val="28"/>
          <w:szCs w:val="28"/>
        </w:rPr>
        <w:t xml:space="preserve"> %</w:t>
      </w:r>
      <w:r w:rsidR="001E7117" w:rsidRPr="00895EEE">
        <w:rPr>
          <w:sz w:val="28"/>
          <w:szCs w:val="28"/>
        </w:rPr>
        <w:t xml:space="preserve">, что на </w:t>
      </w:r>
      <w:r w:rsidR="00AF3C02">
        <w:rPr>
          <w:sz w:val="28"/>
          <w:szCs w:val="28"/>
        </w:rPr>
        <w:t>3</w:t>
      </w:r>
      <w:r w:rsidR="000918A0">
        <w:rPr>
          <w:sz w:val="28"/>
          <w:szCs w:val="28"/>
        </w:rPr>
        <w:t>,</w:t>
      </w:r>
      <w:r w:rsidR="00AF3C02">
        <w:rPr>
          <w:sz w:val="28"/>
          <w:szCs w:val="28"/>
        </w:rPr>
        <w:t>3</w:t>
      </w:r>
      <w:r w:rsidR="00BA0363">
        <w:rPr>
          <w:sz w:val="28"/>
          <w:szCs w:val="28"/>
        </w:rPr>
        <w:t xml:space="preserve"> </w:t>
      </w:r>
      <w:r w:rsidRPr="00895EEE">
        <w:rPr>
          <w:sz w:val="28"/>
          <w:szCs w:val="28"/>
        </w:rPr>
        <w:t xml:space="preserve">% </w:t>
      </w:r>
      <w:r w:rsidR="000918A0">
        <w:rPr>
          <w:sz w:val="28"/>
          <w:szCs w:val="28"/>
        </w:rPr>
        <w:t>меньше</w:t>
      </w:r>
      <w:r w:rsidRPr="00895EEE">
        <w:rPr>
          <w:sz w:val="28"/>
          <w:szCs w:val="28"/>
        </w:rPr>
        <w:t xml:space="preserve"> по сра</w:t>
      </w:r>
      <w:r w:rsidR="000918A0">
        <w:rPr>
          <w:sz w:val="28"/>
          <w:szCs w:val="28"/>
        </w:rPr>
        <w:t xml:space="preserve">внению с прошлым годом, </w:t>
      </w:r>
      <w:r w:rsidR="00F66A27">
        <w:rPr>
          <w:sz w:val="28"/>
          <w:szCs w:val="28"/>
        </w:rPr>
        <w:t>число</w:t>
      </w:r>
      <w:r w:rsidR="000918A0">
        <w:rPr>
          <w:sz w:val="28"/>
          <w:szCs w:val="28"/>
        </w:rPr>
        <w:t xml:space="preserve"> респондентов имеющих специальность высшее – подготовка кадров высшей квалификации составило – </w:t>
      </w:r>
      <w:r w:rsidR="00D92925">
        <w:rPr>
          <w:sz w:val="28"/>
          <w:szCs w:val="28"/>
        </w:rPr>
        <w:t>5</w:t>
      </w:r>
      <w:r w:rsidR="00F66A27">
        <w:rPr>
          <w:sz w:val="28"/>
          <w:szCs w:val="28"/>
        </w:rPr>
        <w:t>,</w:t>
      </w:r>
      <w:r w:rsidR="00D92925">
        <w:rPr>
          <w:sz w:val="28"/>
          <w:szCs w:val="28"/>
        </w:rPr>
        <w:t>5</w:t>
      </w:r>
      <w:r w:rsidR="000918A0">
        <w:rPr>
          <w:sz w:val="28"/>
          <w:szCs w:val="28"/>
        </w:rPr>
        <w:t xml:space="preserve">% </w:t>
      </w:r>
      <w:r w:rsidR="000918A0" w:rsidRPr="00564E8A">
        <w:rPr>
          <w:sz w:val="28"/>
          <w:szCs w:val="28"/>
        </w:rPr>
        <w:t>(</w:t>
      </w:r>
      <w:r w:rsidR="000918A0">
        <w:rPr>
          <w:sz w:val="28"/>
          <w:szCs w:val="28"/>
        </w:rPr>
        <w:t>в 202</w:t>
      </w:r>
      <w:r w:rsidR="00D92925">
        <w:rPr>
          <w:sz w:val="28"/>
          <w:szCs w:val="28"/>
        </w:rPr>
        <w:t>2</w:t>
      </w:r>
      <w:r w:rsidR="000918A0">
        <w:rPr>
          <w:sz w:val="28"/>
          <w:szCs w:val="28"/>
        </w:rPr>
        <w:t xml:space="preserve"> году </w:t>
      </w:r>
      <w:r w:rsidR="00D92925">
        <w:rPr>
          <w:sz w:val="28"/>
          <w:szCs w:val="28"/>
        </w:rPr>
        <w:t>6</w:t>
      </w:r>
      <w:r w:rsidR="00BA7B98">
        <w:rPr>
          <w:sz w:val="28"/>
          <w:szCs w:val="28"/>
        </w:rPr>
        <w:t>,</w:t>
      </w:r>
      <w:r w:rsidR="00D92925">
        <w:rPr>
          <w:sz w:val="28"/>
          <w:szCs w:val="28"/>
        </w:rPr>
        <w:t>4</w:t>
      </w:r>
      <w:r w:rsidR="000918A0" w:rsidRPr="00564E8A">
        <w:rPr>
          <w:sz w:val="28"/>
          <w:szCs w:val="28"/>
        </w:rPr>
        <w:t xml:space="preserve"> %)</w:t>
      </w:r>
      <w:r w:rsidR="000918A0">
        <w:rPr>
          <w:sz w:val="28"/>
          <w:szCs w:val="28"/>
        </w:rPr>
        <w:t xml:space="preserve"> </w:t>
      </w:r>
      <w:r w:rsidR="001E1695" w:rsidRPr="00895EEE">
        <w:rPr>
          <w:sz w:val="28"/>
          <w:szCs w:val="28"/>
        </w:rPr>
        <w:t>(</w:t>
      </w:r>
      <w:r w:rsidR="000B7B89">
        <w:rPr>
          <w:sz w:val="28"/>
          <w:szCs w:val="28"/>
        </w:rPr>
        <w:t>Таблица 1</w:t>
      </w:r>
      <w:r w:rsidR="001E1695" w:rsidRPr="00895EEE">
        <w:rPr>
          <w:sz w:val="28"/>
          <w:szCs w:val="28"/>
        </w:rPr>
        <w:t>)</w:t>
      </w:r>
      <w:r w:rsidR="00063377" w:rsidRPr="00895EEE">
        <w:rPr>
          <w:sz w:val="28"/>
          <w:szCs w:val="28"/>
        </w:rPr>
        <w:t>.</w:t>
      </w:r>
    </w:p>
    <w:p w:rsidR="00023C51" w:rsidRDefault="001E1695" w:rsidP="001E1695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9935" w:type="dxa"/>
        <w:tblInd w:w="96" w:type="dxa"/>
        <w:tblLook w:val="04A0"/>
      </w:tblPr>
      <w:tblGrid>
        <w:gridCol w:w="6108"/>
        <w:gridCol w:w="1984"/>
        <w:gridCol w:w="1843"/>
      </w:tblGrid>
      <w:tr w:rsidR="00EA287A" w:rsidRPr="00A07BF0" w:rsidTr="001E1695">
        <w:trPr>
          <w:trHeight w:val="161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87A" w:rsidRPr="00A07BF0" w:rsidRDefault="00EA287A" w:rsidP="00A07B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7BF0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A07BF0">
              <w:rPr>
                <w:b/>
                <w:bCs/>
                <w:color w:val="000000"/>
                <w:sz w:val="20"/>
                <w:szCs w:val="20"/>
              </w:rPr>
              <w:t>ОПРОШЕННЫХ</w:t>
            </w:r>
            <w:proofErr w:type="gramEnd"/>
            <w:r w:rsidRPr="00A07BF0">
              <w:rPr>
                <w:b/>
                <w:bCs/>
                <w:color w:val="000000"/>
                <w:sz w:val="20"/>
                <w:szCs w:val="20"/>
              </w:rPr>
              <w:t>, ИМЕЮЩИХ ОБРАЗОВАНИЕ:</w:t>
            </w:r>
          </w:p>
        </w:tc>
      </w:tr>
      <w:tr w:rsidR="00D92925" w:rsidRPr="00A07BF0" w:rsidTr="001E1695">
        <w:trPr>
          <w:trHeight w:val="21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925" w:rsidRDefault="00D92925" w:rsidP="00A07BF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25" w:rsidRPr="001E1695" w:rsidRDefault="00D92925" w:rsidP="00866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1E1695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25" w:rsidRPr="001E1695" w:rsidRDefault="00D92925" w:rsidP="00D929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1E1695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D92925" w:rsidRPr="00A07BF0" w:rsidTr="001E1695">
        <w:trPr>
          <w:trHeight w:val="21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925" w:rsidRPr="00A07BF0" w:rsidRDefault="00D92925" w:rsidP="00A07BF0">
            <w:pPr>
              <w:rPr>
                <w:color w:val="000000"/>
              </w:rPr>
            </w:pPr>
            <w:r>
              <w:rPr>
                <w:color w:val="000000"/>
              </w:rPr>
              <w:t>Основное общее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25" w:rsidRPr="001E1695" w:rsidRDefault="00D92925" w:rsidP="00866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10,9 %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25" w:rsidRPr="001E1695" w:rsidRDefault="00D92925" w:rsidP="00D929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13,8 %</w:t>
            </w:r>
          </w:p>
        </w:tc>
      </w:tr>
      <w:tr w:rsidR="00D92925" w:rsidRPr="00A07BF0" w:rsidTr="001E1695">
        <w:trPr>
          <w:trHeight w:val="21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925" w:rsidRPr="00A07BF0" w:rsidRDefault="00D92925" w:rsidP="00A07BF0">
            <w:pPr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25" w:rsidRPr="001E1695" w:rsidRDefault="00D92925" w:rsidP="00866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19,3 %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25" w:rsidRPr="001E1695" w:rsidRDefault="00D92925" w:rsidP="00D929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17,8 %</w:t>
            </w:r>
          </w:p>
        </w:tc>
      </w:tr>
      <w:tr w:rsidR="00D92925" w:rsidRPr="00A07BF0" w:rsidTr="001E1695">
        <w:trPr>
          <w:trHeight w:val="31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925" w:rsidRPr="00A07BF0" w:rsidRDefault="00D92925" w:rsidP="0007134B">
            <w:pPr>
              <w:rPr>
                <w:color w:val="000000"/>
              </w:rPr>
            </w:pPr>
            <w:r w:rsidRPr="00A07BF0">
              <w:rPr>
                <w:color w:val="000000"/>
              </w:rPr>
              <w:t xml:space="preserve">Среднее </w:t>
            </w:r>
            <w:r>
              <w:rPr>
                <w:color w:val="000000"/>
              </w:rPr>
              <w:t>профессиональное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25" w:rsidRPr="001E1695" w:rsidRDefault="00D92925" w:rsidP="00866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29,2 %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25" w:rsidRPr="001E1695" w:rsidRDefault="00D92925" w:rsidP="00D929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27,7 %</w:t>
            </w:r>
          </w:p>
        </w:tc>
      </w:tr>
      <w:tr w:rsidR="00D92925" w:rsidRPr="00A07BF0" w:rsidTr="001E1695">
        <w:trPr>
          <w:trHeight w:val="18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925" w:rsidRPr="00A07BF0" w:rsidRDefault="00D92925" w:rsidP="00A07B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Высшее-бакалавриат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25" w:rsidRPr="001E1695" w:rsidRDefault="00D92925" w:rsidP="00866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13,9 %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25" w:rsidRPr="001E1695" w:rsidRDefault="00D92925" w:rsidP="00D929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18,2 %</w:t>
            </w:r>
          </w:p>
        </w:tc>
      </w:tr>
      <w:tr w:rsidR="00D92925" w:rsidRPr="00A07BF0" w:rsidTr="001E1695">
        <w:trPr>
          <w:trHeight w:val="18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925" w:rsidRPr="00A07BF0" w:rsidRDefault="00D92925" w:rsidP="00A07BF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Высшее-специалист</w:t>
            </w:r>
            <w:proofErr w:type="spellEnd"/>
            <w:proofErr w:type="gramEnd"/>
            <w:r>
              <w:rPr>
                <w:color w:val="000000"/>
              </w:rPr>
              <w:t>, магистратура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25" w:rsidRPr="001E1695" w:rsidRDefault="00D92925" w:rsidP="00866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20,3 %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25" w:rsidRPr="001E1695" w:rsidRDefault="00D92925" w:rsidP="00EA28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17 %</w:t>
            </w:r>
          </w:p>
        </w:tc>
      </w:tr>
      <w:tr w:rsidR="00D92925" w:rsidRPr="00A07BF0" w:rsidTr="001E1695">
        <w:trPr>
          <w:trHeight w:val="18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925" w:rsidRPr="00A07BF0" w:rsidRDefault="00D92925" w:rsidP="00A07BF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Высшее-подготовка</w:t>
            </w:r>
            <w:proofErr w:type="spellEnd"/>
            <w:proofErr w:type="gramEnd"/>
            <w:r>
              <w:rPr>
                <w:color w:val="000000"/>
              </w:rPr>
              <w:t xml:space="preserve"> кадров высшей квалификации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25" w:rsidRPr="001E1695" w:rsidRDefault="00D92925" w:rsidP="00866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6,4 %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25" w:rsidRPr="001E1695" w:rsidRDefault="00D92925" w:rsidP="00D929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5,5 %</w:t>
            </w:r>
          </w:p>
        </w:tc>
      </w:tr>
      <w:tr w:rsidR="00D92925" w:rsidRPr="00A07BF0" w:rsidTr="001E1695">
        <w:trPr>
          <w:trHeight w:val="18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925" w:rsidRPr="00A07BF0" w:rsidRDefault="00D92925" w:rsidP="00A07BF0">
            <w:pPr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25" w:rsidRPr="001E1695" w:rsidRDefault="00D92925" w:rsidP="00866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25" w:rsidRPr="001E1695" w:rsidRDefault="00D92925" w:rsidP="00EA28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A07BF0" w:rsidRDefault="00A07BF0" w:rsidP="00FF23B6">
      <w:pPr>
        <w:ind w:firstLine="709"/>
        <w:jc w:val="both"/>
        <w:rPr>
          <w:sz w:val="28"/>
          <w:szCs w:val="28"/>
        </w:rPr>
      </w:pPr>
    </w:p>
    <w:p w:rsidR="009D3754" w:rsidRDefault="00D5175C" w:rsidP="00D51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050C5A" w:rsidRPr="00D5175C">
        <w:rPr>
          <w:b/>
          <w:sz w:val="28"/>
          <w:szCs w:val="28"/>
        </w:rPr>
        <w:t>Динамика оценки потребителями товарных рынков посредством ценообразования, качества и возможности выбора товаров и услуг по каждому рынку в сравнении с прошлым годом</w:t>
      </w:r>
      <w:r w:rsidR="009D3754">
        <w:rPr>
          <w:b/>
          <w:sz w:val="28"/>
          <w:szCs w:val="28"/>
        </w:rPr>
        <w:t>.</w:t>
      </w:r>
    </w:p>
    <w:p w:rsidR="001B5A11" w:rsidRDefault="001B5A11" w:rsidP="00D5175C">
      <w:pPr>
        <w:jc w:val="both"/>
        <w:rPr>
          <w:b/>
          <w:sz w:val="28"/>
          <w:szCs w:val="28"/>
        </w:rPr>
      </w:pPr>
    </w:p>
    <w:p w:rsidR="00E1016D" w:rsidRPr="001B5A11" w:rsidRDefault="009D3754" w:rsidP="00E1016D">
      <w:pPr>
        <w:ind w:firstLine="709"/>
        <w:jc w:val="both"/>
        <w:rPr>
          <w:sz w:val="28"/>
          <w:szCs w:val="28"/>
        </w:rPr>
      </w:pPr>
      <w:r w:rsidRPr="001B5A11">
        <w:rPr>
          <w:sz w:val="28"/>
          <w:szCs w:val="28"/>
        </w:rPr>
        <w:t xml:space="preserve">В ходе анкетирования потребители </w:t>
      </w:r>
      <w:r w:rsidR="00E1016D" w:rsidRPr="001B5A11">
        <w:rPr>
          <w:sz w:val="28"/>
          <w:szCs w:val="28"/>
        </w:rPr>
        <w:t xml:space="preserve">дали оценку количеству организаций, </w:t>
      </w:r>
      <w:r w:rsidRPr="001B5A11">
        <w:rPr>
          <w:sz w:val="28"/>
          <w:szCs w:val="28"/>
        </w:rPr>
        <w:t xml:space="preserve">удовлетворенность уровнем цен, качеством и возможностью выбора товаров и услуг на рынках, включенных в перечень товарных рынков по содействию развитию конкуренции в Ставропольском крае. </w:t>
      </w:r>
    </w:p>
    <w:p w:rsidR="009D3754" w:rsidRPr="001B5A11" w:rsidRDefault="009D3754" w:rsidP="00E1016D">
      <w:pPr>
        <w:ind w:firstLine="709"/>
        <w:rPr>
          <w:sz w:val="28"/>
          <w:szCs w:val="28"/>
        </w:rPr>
      </w:pPr>
      <w:r w:rsidRPr="001B5A11">
        <w:rPr>
          <w:sz w:val="28"/>
          <w:szCs w:val="28"/>
        </w:rPr>
        <w:t>1. Рынок услуг дошкольного образования</w:t>
      </w:r>
      <w:r w:rsidR="00E1016D" w:rsidRPr="001B5A11">
        <w:rPr>
          <w:sz w:val="28"/>
          <w:szCs w:val="28"/>
        </w:rPr>
        <w:t>.</w:t>
      </w:r>
    </w:p>
    <w:p w:rsidR="00B304FC" w:rsidRPr="001B5A11" w:rsidRDefault="00F13809" w:rsidP="00B304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Немного у</w:t>
      </w:r>
      <w:r w:rsidR="006B39D4" w:rsidRPr="001B5A11">
        <w:rPr>
          <w:sz w:val="28"/>
          <w:szCs w:val="28"/>
        </w:rPr>
        <w:t>величилось количество</w:t>
      </w:r>
      <w:r w:rsidR="009D3754" w:rsidRPr="001B5A11">
        <w:rPr>
          <w:sz w:val="28"/>
          <w:szCs w:val="28"/>
        </w:rPr>
        <w:t xml:space="preserve"> опрошенных потребителей</w:t>
      </w:r>
      <w:r w:rsidR="00D92925">
        <w:rPr>
          <w:sz w:val="28"/>
          <w:szCs w:val="28"/>
        </w:rPr>
        <w:t>,</w:t>
      </w:r>
      <w:r w:rsidR="009D3754" w:rsidRPr="001B5A11">
        <w:rPr>
          <w:sz w:val="28"/>
          <w:szCs w:val="28"/>
        </w:rPr>
        <w:t xml:space="preserve"> </w:t>
      </w:r>
      <w:r w:rsidR="006B39D4" w:rsidRPr="001B5A11">
        <w:rPr>
          <w:sz w:val="28"/>
          <w:szCs w:val="28"/>
        </w:rPr>
        <w:t xml:space="preserve">которые </w:t>
      </w:r>
      <w:r w:rsidR="009D3754" w:rsidRPr="001B5A11">
        <w:rPr>
          <w:sz w:val="28"/>
          <w:szCs w:val="28"/>
        </w:rPr>
        <w:t xml:space="preserve">считают, что рынок услуг дошкольного образования округа развит и количество </w:t>
      </w:r>
      <w:proofErr w:type="gramStart"/>
      <w:r w:rsidR="009D3754" w:rsidRPr="001B5A11">
        <w:rPr>
          <w:sz w:val="28"/>
          <w:szCs w:val="28"/>
        </w:rPr>
        <w:t>организаций, оказывающих данную услугу представлен</w:t>
      </w:r>
      <w:proofErr w:type="gramEnd"/>
      <w:r w:rsidR="009D3754" w:rsidRPr="001B5A11">
        <w:rPr>
          <w:sz w:val="28"/>
          <w:szCs w:val="28"/>
        </w:rPr>
        <w:t xml:space="preserve"> в достаточном количестве. По результатам опроса так счи</w:t>
      </w:r>
      <w:r w:rsidR="00B304FC" w:rsidRPr="001B5A11">
        <w:rPr>
          <w:sz w:val="28"/>
          <w:szCs w:val="28"/>
        </w:rPr>
        <w:t>та</w:t>
      </w:r>
      <w:r w:rsidR="007F37AB">
        <w:rPr>
          <w:sz w:val="28"/>
          <w:szCs w:val="28"/>
        </w:rPr>
        <w:t>ют 5</w:t>
      </w:r>
      <w:r w:rsidR="00BF2502">
        <w:rPr>
          <w:sz w:val="28"/>
          <w:szCs w:val="28"/>
        </w:rPr>
        <w:t>6</w:t>
      </w:r>
      <w:r w:rsidR="007F37AB">
        <w:rPr>
          <w:sz w:val="28"/>
          <w:szCs w:val="28"/>
        </w:rPr>
        <w:t>,</w:t>
      </w:r>
      <w:r w:rsidR="00BF2502">
        <w:rPr>
          <w:sz w:val="28"/>
          <w:szCs w:val="28"/>
        </w:rPr>
        <w:t>1</w:t>
      </w:r>
      <w:r w:rsidR="007F37AB">
        <w:rPr>
          <w:sz w:val="28"/>
          <w:szCs w:val="28"/>
        </w:rPr>
        <w:t xml:space="preserve"> % </w:t>
      </w:r>
      <w:proofErr w:type="gramStart"/>
      <w:r w:rsidR="007F37AB">
        <w:rPr>
          <w:sz w:val="28"/>
          <w:szCs w:val="28"/>
        </w:rPr>
        <w:t>опрошенных</w:t>
      </w:r>
      <w:proofErr w:type="gramEnd"/>
      <w:r w:rsidR="007F37AB">
        <w:rPr>
          <w:sz w:val="28"/>
          <w:szCs w:val="28"/>
        </w:rPr>
        <w:t xml:space="preserve"> (в 202</w:t>
      </w:r>
      <w:r w:rsidR="00BF2502">
        <w:rPr>
          <w:sz w:val="28"/>
          <w:szCs w:val="28"/>
        </w:rPr>
        <w:t>2</w:t>
      </w:r>
      <w:r w:rsidR="009D3754" w:rsidRPr="001B5A11">
        <w:rPr>
          <w:sz w:val="28"/>
          <w:szCs w:val="28"/>
        </w:rPr>
        <w:t xml:space="preserve"> году </w:t>
      </w:r>
      <w:r w:rsidR="007F37AB">
        <w:rPr>
          <w:sz w:val="28"/>
          <w:szCs w:val="28"/>
        </w:rPr>
        <w:t>–</w:t>
      </w:r>
      <w:r w:rsidR="002D1520" w:rsidRPr="001B5A11">
        <w:rPr>
          <w:sz w:val="28"/>
          <w:szCs w:val="28"/>
        </w:rPr>
        <w:t xml:space="preserve"> </w:t>
      </w:r>
      <w:r w:rsidR="00BF2502">
        <w:rPr>
          <w:sz w:val="28"/>
          <w:szCs w:val="28"/>
        </w:rPr>
        <w:t>50</w:t>
      </w:r>
      <w:r w:rsidR="007F37AB">
        <w:rPr>
          <w:sz w:val="28"/>
          <w:szCs w:val="28"/>
        </w:rPr>
        <w:t>,</w:t>
      </w:r>
      <w:r w:rsidR="00BF2502">
        <w:rPr>
          <w:sz w:val="28"/>
          <w:szCs w:val="28"/>
        </w:rPr>
        <w:t>5</w:t>
      </w:r>
      <w:r w:rsidR="002D1520" w:rsidRPr="001B5A11">
        <w:rPr>
          <w:sz w:val="28"/>
          <w:szCs w:val="28"/>
        </w:rPr>
        <w:t xml:space="preserve"> %</w:t>
      </w:r>
      <w:r w:rsidR="009D3754" w:rsidRPr="001B5A11">
        <w:rPr>
          <w:sz w:val="28"/>
          <w:szCs w:val="28"/>
        </w:rPr>
        <w:t xml:space="preserve">). </w:t>
      </w:r>
    </w:p>
    <w:p w:rsidR="002D1520" w:rsidRPr="001B5A11" w:rsidRDefault="00B304FC" w:rsidP="00E1016D">
      <w:pPr>
        <w:shd w:val="clear" w:color="auto" w:fill="FFFFFF"/>
        <w:ind w:firstLine="709"/>
        <w:jc w:val="both"/>
        <w:rPr>
          <w:sz w:val="28"/>
          <w:szCs w:val="28"/>
        </w:rPr>
      </w:pPr>
      <w:r w:rsidRPr="001B5A11">
        <w:rPr>
          <w:sz w:val="28"/>
          <w:szCs w:val="28"/>
        </w:rPr>
        <w:t>На рисунке 3</w:t>
      </w:r>
      <w:r w:rsidR="001B5A11">
        <w:rPr>
          <w:sz w:val="28"/>
          <w:szCs w:val="28"/>
        </w:rPr>
        <w:t xml:space="preserve"> отражено как сложило</w:t>
      </w:r>
      <w:r w:rsidR="00CC1FF1" w:rsidRPr="001B5A11">
        <w:rPr>
          <w:sz w:val="28"/>
          <w:szCs w:val="28"/>
        </w:rPr>
        <w:t>сь мнение</w:t>
      </w:r>
      <w:r w:rsidRPr="001B5A11">
        <w:rPr>
          <w:sz w:val="28"/>
          <w:szCs w:val="28"/>
        </w:rPr>
        <w:t xml:space="preserve"> респондентов в отношении к ценообразованию, качеству и возможности выбора на рынке дошкольного образования</w:t>
      </w:r>
      <w:r w:rsidR="0076484C" w:rsidRPr="001B5A11">
        <w:rPr>
          <w:sz w:val="28"/>
          <w:szCs w:val="28"/>
        </w:rPr>
        <w:t xml:space="preserve"> </w:t>
      </w:r>
      <w:r w:rsidR="00CC1FF1" w:rsidRPr="001B5A11">
        <w:rPr>
          <w:sz w:val="28"/>
          <w:szCs w:val="28"/>
        </w:rPr>
        <w:t>по сравнению</w:t>
      </w:r>
      <w:r w:rsidR="0076484C" w:rsidRPr="001B5A11">
        <w:rPr>
          <w:sz w:val="28"/>
          <w:szCs w:val="28"/>
        </w:rPr>
        <w:t xml:space="preserve"> с прошлым годом в процентном соотношении</w:t>
      </w:r>
      <w:r w:rsidRPr="001B5A11">
        <w:rPr>
          <w:sz w:val="28"/>
          <w:szCs w:val="28"/>
        </w:rPr>
        <w:t>.</w:t>
      </w:r>
    </w:p>
    <w:p w:rsidR="00B304FC" w:rsidRDefault="002D1520" w:rsidP="002D1520">
      <w:pPr>
        <w:shd w:val="clear" w:color="auto" w:fill="FFFFFF"/>
        <w:ind w:firstLine="709"/>
        <w:jc w:val="right"/>
        <w:rPr>
          <w:sz w:val="27"/>
          <w:szCs w:val="27"/>
        </w:rPr>
      </w:pPr>
      <w:r w:rsidRPr="00E1016D">
        <w:rPr>
          <w:sz w:val="27"/>
          <w:szCs w:val="27"/>
        </w:rPr>
        <w:t>Рисунок 3.</w:t>
      </w:r>
    </w:p>
    <w:p w:rsidR="001B5A11" w:rsidRPr="00E1016D" w:rsidRDefault="001B5A11" w:rsidP="002D1520">
      <w:pPr>
        <w:shd w:val="clear" w:color="auto" w:fill="FFFFFF"/>
        <w:ind w:firstLine="709"/>
        <w:jc w:val="right"/>
        <w:rPr>
          <w:sz w:val="27"/>
          <w:szCs w:val="27"/>
        </w:rPr>
      </w:pPr>
    </w:p>
    <w:p w:rsidR="00D03675" w:rsidRDefault="00D03675" w:rsidP="009D3754">
      <w:pPr>
        <w:jc w:val="both"/>
        <w:rPr>
          <w:sz w:val="28"/>
          <w:szCs w:val="28"/>
        </w:rPr>
      </w:pPr>
      <w:r w:rsidRPr="00D03675">
        <w:rPr>
          <w:noProof/>
          <w:sz w:val="28"/>
          <w:szCs w:val="28"/>
        </w:rPr>
        <w:drawing>
          <wp:inline distT="0" distB="0" distL="0" distR="0">
            <wp:extent cx="6134100" cy="268605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5A11" w:rsidRPr="001B5A11" w:rsidRDefault="00E1016D" w:rsidP="00E1016D">
      <w:pPr>
        <w:rPr>
          <w:sz w:val="28"/>
          <w:szCs w:val="28"/>
        </w:rPr>
      </w:pPr>
      <w:r w:rsidRPr="001B5A11">
        <w:rPr>
          <w:sz w:val="28"/>
          <w:szCs w:val="28"/>
        </w:rPr>
        <w:t xml:space="preserve">         </w:t>
      </w:r>
    </w:p>
    <w:p w:rsidR="009D3754" w:rsidRPr="001B5A11" w:rsidRDefault="00E1016D" w:rsidP="00E1016D">
      <w:pPr>
        <w:rPr>
          <w:b/>
          <w:sz w:val="28"/>
          <w:szCs w:val="28"/>
        </w:rPr>
      </w:pPr>
      <w:r w:rsidRPr="001B5A11">
        <w:rPr>
          <w:sz w:val="28"/>
          <w:szCs w:val="28"/>
        </w:rPr>
        <w:t xml:space="preserve">  </w:t>
      </w:r>
      <w:r w:rsidR="001B5A11" w:rsidRPr="001B5A11">
        <w:rPr>
          <w:sz w:val="28"/>
          <w:szCs w:val="28"/>
        </w:rPr>
        <w:t xml:space="preserve">         </w:t>
      </w:r>
      <w:r w:rsidR="009D3754" w:rsidRPr="001B5A11">
        <w:rPr>
          <w:sz w:val="28"/>
          <w:szCs w:val="28"/>
        </w:rPr>
        <w:t>2. Рынок услуг общего образования</w:t>
      </w:r>
      <w:r w:rsidRPr="001B5A11">
        <w:rPr>
          <w:sz w:val="28"/>
          <w:szCs w:val="28"/>
        </w:rPr>
        <w:t>.</w:t>
      </w:r>
    </w:p>
    <w:p w:rsidR="00D118B8" w:rsidRPr="001B5A11" w:rsidRDefault="00D118B8" w:rsidP="00D118B8">
      <w:pPr>
        <w:shd w:val="clear" w:color="auto" w:fill="FFFFFF"/>
        <w:ind w:firstLine="709"/>
        <w:jc w:val="both"/>
        <w:rPr>
          <w:sz w:val="28"/>
          <w:szCs w:val="28"/>
        </w:rPr>
      </w:pPr>
      <w:r w:rsidRPr="001B5A11">
        <w:rPr>
          <w:sz w:val="28"/>
          <w:szCs w:val="28"/>
        </w:rPr>
        <w:t xml:space="preserve">Ситуация с рынком услуг общего образования округа схожа с рынком услуг дошкольного </w:t>
      </w:r>
      <w:r w:rsidR="00CF5499" w:rsidRPr="001B5A11">
        <w:rPr>
          <w:sz w:val="28"/>
          <w:szCs w:val="28"/>
        </w:rPr>
        <w:t>образования. Так</w:t>
      </w:r>
      <w:r w:rsidR="001B5A11">
        <w:rPr>
          <w:sz w:val="28"/>
          <w:szCs w:val="28"/>
        </w:rPr>
        <w:t xml:space="preserve"> </w:t>
      </w:r>
      <w:r w:rsidR="00CF5499" w:rsidRPr="001B5A11">
        <w:rPr>
          <w:sz w:val="28"/>
          <w:szCs w:val="28"/>
        </w:rPr>
        <w:t xml:space="preserve"> </w:t>
      </w:r>
      <w:r w:rsidR="00556236">
        <w:rPr>
          <w:sz w:val="28"/>
          <w:szCs w:val="28"/>
        </w:rPr>
        <w:t>60,5</w:t>
      </w:r>
      <w:r w:rsidR="00CF5499" w:rsidRPr="001B5A11">
        <w:rPr>
          <w:sz w:val="28"/>
          <w:szCs w:val="28"/>
        </w:rPr>
        <w:t xml:space="preserve"> % (</w:t>
      </w:r>
      <w:r w:rsidR="001B5A11">
        <w:rPr>
          <w:sz w:val="28"/>
          <w:szCs w:val="28"/>
        </w:rPr>
        <w:t xml:space="preserve">в </w:t>
      </w:r>
      <w:r w:rsidR="00A057B7">
        <w:rPr>
          <w:sz w:val="28"/>
          <w:szCs w:val="28"/>
        </w:rPr>
        <w:t>202</w:t>
      </w:r>
      <w:r w:rsidR="00556236">
        <w:rPr>
          <w:sz w:val="28"/>
          <w:szCs w:val="28"/>
        </w:rPr>
        <w:t>2</w:t>
      </w:r>
      <w:r w:rsidR="00CF5499" w:rsidRPr="001B5A11">
        <w:rPr>
          <w:sz w:val="28"/>
          <w:szCs w:val="28"/>
        </w:rPr>
        <w:t xml:space="preserve"> году</w:t>
      </w:r>
      <w:r w:rsidRPr="001B5A11">
        <w:rPr>
          <w:sz w:val="28"/>
          <w:szCs w:val="28"/>
        </w:rPr>
        <w:t xml:space="preserve"> </w:t>
      </w:r>
      <w:r w:rsidR="00A057B7">
        <w:rPr>
          <w:sz w:val="28"/>
          <w:szCs w:val="28"/>
        </w:rPr>
        <w:t>–</w:t>
      </w:r>
      <w:r w:rsidRPr="001B5A11">
        <w:rPr>
          <w:sz w:val="28"/>
          <w:szCs w:val="28"/>
        </w:rPr>
        <w:t xml:space="preserve"> </w:t>
      </w:r>
      <w:r w:rsidR="00A057B7">
        <w:rPr>
          <w:sz w:val="28"/>
          <w:szCs w:val="28"/>
        </w:rPr>
        <w:t>5</w:t>
      </w:r>
      <w:r w:rsidR="00556236">
        <w:rPr>
          <w:sz w:val="28"/>
          <w:szCs w:val="28"/>
        </w:rPr>
        <w:t>5</w:t>
      </w:r>
      <w:r w:rsidR="00A057B7">
        <w:rPr>
          <w:sz w:val="28"/>
          <w:szCs w:val="28"/>
        </w:rPr>
        <w:t>,</w:t>
      </w:r>
      <w:r w:rsidR="00556236">
        <w:rPr>
          <w:sz w:val="28"/>
          <w:szCs w:val="28"/>
        </w:rPr>
        <w:t>4</w:t>
      </w:r>
      <w:r w:rsidRPr="001B5A11">
        <w:rPr>
          <w:sz w:val="28"/>
          <w:szCs w:val="28"/>
        </w:rPr>
        <w:t xml:space="preserve"> %) респондентов считают, что на рынке достаточное количество организаций, оказывающих данную услугу.</w:t>
      </w:r>
    </w:p>
    <w:p w:rsidR="00D118B8" w:rsidRDefault="00D118B8" w:rsidP="00D118B8">
      <w:pPr>
        <w:shd w:val="clear" w:color="auto" w:fill="FFFFFF"/>
        <w:ind w:firstLine="709"/>
        <w:jc w:val="both"/>
        <w:rPr>
          <w:sz w:val="28"/>
          <w:szCs w:val="28"/>
        </w:rPr>
      </w:pPr>
      <w:r w:rsidRPr="001B5A11">
        <w:rPr>
          <w:sz w:val="28"/>
          <w:szCs w:val="28"/>
        </w:rPr>
        <w:t>На рисунке 4</w:t>
      </w:r>
      <w:r w:rsidR="00CC1FF1" w:rsidRPr="001B5A11">
        <w:rPr>
          <w:sz w:val="28"/>
          <w:szCs w:val="28"/>
        </w:rPr>
        <w:t xml:space="preserve"> отражено как сложились мнение</w:t>
      </w:r>
      <w:r w:rsidRPr="001B5A11">
        <w:rPr>
          <w:sz w:val="28"/>
          <w:szCs w:val="28"/>
        </w:rPr>
        <w:t xml:space="preserve"> респондентов в отношении к ценообразованию, качеству и возможности выбора на рынке общего образования </w:t>
      </w:r>
      <w:r w:rsidR="00CC1FF1" w:rsidRPr="001B5A11">
        <w:rPr>
          <w:sz w:val="28"/>
          <w:szCs w:val="28"/>
        </w:rPr>
        <w:t>по сравнению</w:t>
      </w:r>
      <w:r w:rsidRPr="001B5A11">
        <w:rPr>
          <w:sz w:val="28"/>
          <w:szCs w:val="28"/>
        </w:rPr>
        <w:t xml:space="preserve"> с прошлым годом в процентном соотношении.</w:t>
      </w:r>
    </w:p>
    <w:p w:rsidR="001B5A11" w:rsidRDefault="001B5A11" w:rsidP="00D11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5A11" w:rsidRDefault="001B5A11" w:rsidP="00D11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5A11" w:rsidRDefault="001B5A11" w:rsidP="00D11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5A11" w:rsidRDefault="001B5A11" w:rsidP="00D11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5A11" w:rsidRDefault="001B5A11" w:rsidP="00D11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5A11" w:rsidRDefault="001B5A11" w:rsidP="00D11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5A11" w:rsidRPr="001B5A11" w:rsidRDefault="001B5A11" w:rsidP="00D11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D3754" w:rsidRPr="00E1016D" w:rsidRDefault="00E1016D" w:rsidP="00E1016D">
      <w:pPr>
        <w:jc w:val="right"/>
        <w:rPr>
          <w:b/>
          <w:sz w:val="27"/>
          <w:szCs w:val="27"/>
        </w:rPr>
      </w:pPr>
      <w:r w:rsidRPr="00E1016D">
        <w:rPr>
          <w:sz w:val="27"/>
          <w:szCs w:val="27"/>
        </w:rPr>
        <w:t>Рисунок 4</w:t>
      </w:r>
      <w:r>
        <w:rPr>
          <w:b/>
          <w:sz w:val="27"/>
          <w:szCs w:val="27"/>
        </w:rPr>
        <w:t>.</w:t>
      </w:r>
    </w:p>
    <w:p w:rsidR="009D3754" w:rsidRDefault="00D118B8" w:rsidP="00D5175C">
      <w:pPr>
        <w:jc w:val="both"/>
        <w:rPr>
          <w:b/>
          <w:sz w:val="28"/>
          <w:szCs w:val="28"/>
        </w:rPr>
      </w:pPr>
      <w:r w:rsidRPr="00D118B8">
        <w:rPr>
          <w:b/>
          <w:noProof/>
          <w:sz w:val="28"/>
          <w:szCs w:val="28"/>
        </w:rPr>
        <w:drawing>
          <wp:inline distT="0" distB="0" distL="0" distR="0">
            <wp:extent cx="6134100" cy="2438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5A11" w:rsidRDefault="001B5A11" w:rsidP="00CC1FF1">
      <w:pPr>
        <w:pStyle w:val="a7"/>
        <w:ind w:left="0" w:firstLine="709"/>
        <w:jc w:val="both"/>
        <w:rPr>
          <w:sz w:val="28"/>
          <w:szCs w:val="28"/>
        </w:rPr>
      </w:pPr>
    </w:p>
    <w:p w:rsidR="00CC1FF1" w:rsidRPr="00AA368A" w:rsidRDefault="00CC1FF1" w:rsidP="00CC1FF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368A">
        <w:rPr>
          <w:sz w:val="28"/>
          <w:szCs w:val="28"/>
        </w:rPr>
        <w:t>Рынок услуг среднего профессионального образования.</w:t>
      </w:r>
    </w:p>
    <w:p w:rsidR="009D3754" w:rsidRDefault="00CC1FF1" w:rsidP="00CC1F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B5A11">
        <w:rPr>
          <w:sz w:val="28"/>
          <w:szCs w:val="28"/>
        </w:rPr>
        <w:t xml:space="preserve">Нефтекумского </w:t>
      </w:r>
      <w:r w:rsidR="00663AA1">
        <w:rPr>
          <w:sz w:val="28"/>
          <w:szCs w:val="28"/>
        </w:rPr>
        <w:t>муниципального</w:t>
      </w:r>
      <w:r w:rsidR="001B5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321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лишь одно учреждение, оказывающее данный вид услуг, по мнению </w:t>
      </w:r>
      <w:r w:rsidR="00F87D2C">
        <w:rPr>
          <w:sz w:val="28"/>
          <w:szCs w:val="28"/>
        </w:rPr>
        <w:t>26,</w:t>
      </w:r>
      <w:r w:rsidR="008662D4">
        <w:rPr>
          <w:sz w:val="28"/>
          <w:szCs w:val="28"/>
        </w:rPr>
        <w:t>5</w:t>
      </w:r>
      <w:r>
        <w:rPr>
          <w:sz w:val="28"/>
          <w:szCs w:val="28"/>
        </w:rPr>
        <w:t xml:space="preserve"> % </w:t>
      </w:r>
      <w:r w:rsidR="00CF5499">
        <w:rPr>
          <w:sz w:val="28"/>
          <w:szCs w:val="28"/>
        </w:rPr>
        <w:t>(</w:t>
      </w:r>
      <w:r w:rsidR="001B5A11">
        <w:rPr>
          <w:sz w:val="28"/>
          <w:szCs w:val="28"/>
        </w:rPr>
        <w:t xml:space="preserve">в </w:t>
      </w:r>
      <w:r w:rsidR="0024030E">
        <w:rPr>
          <w:sz w:val="28"/>
          <w:szCs w:val="28"/>
        </w:rPr>
        <w:t>202</w:t>
      </w:r>
      <w:r w:rsidR="008662D4">
        <w:rPr>
          <w:sz w:val="28"/>
          <w:szCs w:val="28"/>
        </w:rPr>
        <w:t>2</w:t>
      </w:r>
      <w:r w:rsidR="00CF5499">
        <w:rPr>
          <w:sz w:val="28"/>
          <w:szCs w:val="28"/>
        </w:rPr>
        <w:t xml:space="preserve"> году</w:t>
      </w:r>
      <w:r w:rsidRPr="00CC1FF1">
        <w:rPr>
          <w:sz w:val="28"/>
          <w:szCs w:val="28"/>
        </w:rPr>
        <w:t xml:space="preserve"> </w:t>
      </w:r>
      <w:r w:rsidR="002403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030E">
        <w:rPr>
          <w:sz w:val="28"/>
          <w:szCs w:val="28"/>
        </w:rPr>
        <w:t>2</w:t>
      </w:r>
      <w:r w:rsidR="008662D4">
        <w:rPr>
          <w:sz w:val="28"/>
          <w:szCs w:val="28"/>
        </w:rPr>
        <w:t>6</w:t>
      </w:r>
      <w:r w:rsidR="0024030E">
        <w:rPr>
          <w:sz w:val="28"/>
          <w:szCs w:val="28"/>
        </w:rPr>
        <w:t>,</w:t>
      </w:r>
      <w:r w:rsidR="008662D4">
        <w:rPr>
          <w:sz w:val="28"/>
          <w:szCs w:val="28"/>
        </w:rPr>
        <w:t>7</w:t>
      </w:r>
      <w:r w:rsidRPr="00CC1FF1">
        <w:rPr>
          <w:sz w:val="28"/>
          <w:szCs w:val="28"/>
        </w:rPr>
        <w:t xml:space="preserve"> %) </w:t>
      </w:r>
      <w:r>
        <w:rPr>
          <w:sz w:val="28"/>
          <w:szCs w:val="28"/>
        </w:rPr>
        <w:t xml:space="preserve"> респондентов этого достаточно для обеспечения нужд </w:t>
      </w:r>
      <w:r w:rsidR="001B5A11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в среднем профессиональном образовании.</w:t>
      </w:r>
    </w:p>
    <w:p w:rsidR="00CC1FF1" w:rsidRPr="00CC1FF1" w:rsidRDefault="00CC1FF1" w:rsidP="00CC1FF1">
      <w:pPr>
        <w:shd w:val="clear" w:color="auto" w:fill="FFFFFF"/>
        <w:ind w:firstLine="709"/>
        <w:jc w:val="both"/>
        <w:rPr>
          <w:sz w:val="28"/>
          <w:szCs w:val="28"/>
        </w:rPr>
      </w:pPr>
      <w:r w:rsidRPr="00CC1FF1">
        <w:rPr>
          <w:sz w:val="28"/>
          <w:szCs w:val="28"/>
        </w:rPr>
        <w:t xml:space="preserve">На рисунке 5 отражено как сложились мнение респондентов в отношении к ценообразованию, качеству и возможности выбора на рынке среднего профессионального образования </w:t>
      </w:r>
      <w:r>
        <w:rPr>
          <w:sz w:val="28"/>
          <w:szCs w:val="28"/>
        </w:rPr>
        <w:t>по сравнению</w:t>
      </w:r>
      <w:r w:rsidRPr="00CC1FF1">
        <w:rPr>
          <w:sz w:val="28"/>
          <w:szCs w:val="28"/>
        </w:rPr>
        <w:t xml:space="preserve"> с прошлым годом в процентном соотношении.</w:t>
      </w:r>
    </w:p>
    <w:p w:rsidR="009D3754" w:rsidRPr="00CC1FF1" w:rsidRDefault="00CC1FF1" w:rsidP="00CC1FF1">
      <w:pPr>
        <w:jc w:val="right"/>
        <w:rPr>
          <w:sz w:val="28"/>
          <w:szCs w:val="28"/>
        </w:rPr>
      </w:pPr>
      <w:r w:rsidRPr="00CC1FF1">
        <w:rPr>
          <w:sz w:val="28"/>
          <w:szCs w:val="28"/>
        </w:rPr>
        <w:t>Рисунок 5.</w:t>
      </w:r>
    </w:p>
    <w:p w:rsidR="009D3754" w:rsidRDefault="00CC1FF1" w:rsidP="00D5175C">
      <w:pPr>
        <w:jc w:val="both"/>
        <w:rPr>
          <w:b/>
          <w:sz w:val="28"/>
          <w:szCs w:val="28"/>
        </w:rPr>
      </w:pPr>
      <w:r w:rsidRPr="00CC1FF1">
        <w:rPr>
          <w:b/>
          <w:noProof/>
          <w:sz w:val="28"/>
          <w:szCs w:val="28"/>
        </w:rPr>
        <w:drawing>
          <wp:inline distT="0" distB="0" distL="0" distR="0">
            <wp:extent cx="6134100" cy="24384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04D0" w:rsidRPr="006B39D4" w:rsidRDefault="008A04D0" w:rsidP="008A04D0">
      <w:pPr>
        <w:ind w:firstLine="644"/>
        <w:jc w:val="both"/>
        <w:rPr>
          <w:sz w:val="28"/>
          <w:szCs w:val="28"/>
        </w:rPr>
      </w:pPr>
      <w:r w:rsidRPr="006B39D4">
        <w:rPr>
          <w:sz w:val="28"/>
          <w:szCs w:val="28"/>
        </w:rPr>
        <w:t>4</w:t>
      </w:r>
      <w:r w:rsidRPr="006D08B3">
        <w:rPr>
          <w:sz w:val="28"/>
          <w:szCs w:val="28"/>
        </w:rPr>
        <w:t>.Рынок услуг дополнительного образования детей</w:t>
      </w:r>
      <w:r w:rsidRPr="006B39D4">
        <w:rPr>
          <w:sz w:val="28"/>
          <w:szCs w:val="28"/>
        </w:rPr>
        <w:t xml:space="preserve">. </w:t>
      </w:r>
    </w:p>
    <w:p w:rsidR="00717517" w:rsidRDefault="001B5A11" w:rsidP="00CF54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1CD7">
        <w:rPr>
          <w:sz w:val="28"/>
          <w:szCs w:val="28"/>
        </w:rPr>
        <w:t>Р</w:t>
      </w:r>
      <w:r w:rsidR="008A04D0" w:rsidRPr="006B39D4">
        <w:rPr>
          <w:sz w:val="28"/>
          <w:szCs w:val="28"/>
        </w:rPr>
        <w:t xml:space="preserve">ынок услуг дополнительного образования детей (кружки, секции, клубы, музеи, библиотеки и пр.) </w:t>
      </w:r>
      <w:r w:rsidR="007E1CD7">
        <w:rPr>
          <w:sz w:val="28"/>
          <w:szCs w:val="28"/>
        </w:rPr>
        <w:t>считают</w:t>
      </w:r>
      <w:r w:rsidR="008A04D0" w:rsidRPr="006B39D4">
        <w:rPr>
          <w:sz w:val="28"/>
          <w:szCs w:val="28"/>
        </w:rPr>
        <w:t xml:space="preserve"> в достаточной мере</w:t>
      </w:r>
      <w:r w:rsidR="007E1CD7">
        <w:rPr>
          <w:sz w:val="28"/>
          <w:szCs w:val="28"/>
        </w:rPr>
        <w:t xml:space="preserve"> развитым</w:t>
      </w:r>
      <w:r w:rsidR="008A04D0" w:rsidRPr="006B39D4">
        <w:rPr>
          <w:sz w:val="28"/>
          <w:szCs w:val="28"/>
        </w:rPr>
        <w:t xml:space="preserve"> </w:t>
      </w:r>
      <w:r w:rsidR="005D05FE">
        <w:rPr>
          <w:sz w:val="28"/>
          <w:szCs w:val="28"/>
        </w:rPr>
        <w:t>–</w:t>
      </w:r>
      <w:r w:rsidR="008A04D0" w:rsidRPr="006B39D4">
        <w:rPr>
          <w:sz w:val="28"/>
          <w:szCs w:val="28"/>
        </w:rPr>
        <w:t xml:space="preserve"> </w:t>
      </w:r>
      <w:r w:rsidR="0041128D" w:rsidRPr="0041128D">
        <w:rPr>
          <w:sz w:val="28"/>
          <w:szCs w:val="28"/>
        </w:rPr>
        <w:t>37,2</w:t>
      </w:r>
      <w:r w:rsidR="008A04D0" w:rsidRPr="0041128D">
        <w:rPr>
          <w:sz w:val="28"/>
          <w:szCs w:val="28"/>
        </w:rPr>
        <w:t xml:space="preserve"> %</w:t>
      </w:r>
      <w:r w:rsidR="008A04D0" w:rsidRPr="006B39D4">
        <w:rPr>
          <w:sz w:val="28"/>
          <w:szCs w:val="28"/>
        </w:rPr>
        <w:t xml:space="preserve"> (</w:t>
      </w:r>
      <w:r w:rsidR="005D05FE">
        <w:rPr>
          <w:sz w:val="28"/>
          <w:szCs w:val="28"/>
        </w:rPr>
        <w:t>в 202</w:t>
      </w:r>
      <w:r w:rsidR="00AF22F8">
        <w:rPr>
          <w:sz w:val="28"/>
          <w:szCs w:val="28"/>
        </w:rPr>
        <w:t>2</w:t>
      </w:r>
      <w:r w:rsidR="00CF5499">
        <w:rPr>
          <w:sz w:val="28"/>
          <w:szCs w:val="28"/>
        </w:rPr>
        <w:t xml:space="preserve"> году</w:t>
      </w:r>
      <w:r w:rsidR="00830DDE">
        <w:rPr>
          <w:sz w:val="28"/>
          <w:szCs w:val="28"/>
        </w:rPr>
        <w:t xml:space="preserve"> </w:t>
      </w:r>
      <w:r w:rsidR="005D05FE">
        <w:rPr>
          <w:sz w:val="28"/>
          <w:szCs w:val="28"/>
        </w:rPr>
        <w:t>–</w:t>
      </w:r>
      <w:r w:rsidR="008A04D0" w:rsidRPr="006B39D4">
        <w:rPr>
          <w:sz w:val="28"/>
          <w:szCs w:val="28"/>
        </w:rPr>
        <w:t xml:space="preserve"> </w:t>
      </w:r>
      <w:r w:rsidR="005D05FE">
        <w:rPr>
          <w:sz w:val="28"/>
          <w:szCs w:val="28"/>
        </w:rPr>
        <w:t>4</w:t>
      </w:r>
      <w:r w:rsidR="00AF22F8">
        <w:rPr>
          <w:sz w:val="28"/>
          <w:szCs w:val="28"/>
        </w:rPr>
        <w:t>1</w:t>
      </w:r>
      <w:r w:rsidR="005D05FE">
        <w:rPr>
          <w:sz w:val="28"/>
          <w:szCs w:val="28"/>
        </w:rPr>
        <w:t>,</w:t>
      </w:r>
      <w:r w:rsidR="00AF22F8">
        <w:rPr>
          <w:sz w:val="28"/>
          <w:szCs w:val="28"/>
        </w:rPr>
        <w:t>2</w:t>
      </w:r>
      <w:r w:rsidR="008A04D0" w:rsidRPr="006B39D4">
        <w:rPr>
          <w:sz w:val="28"/>
          <w:szCs w:val="28"/>
        </w:rPr>
        <w:t xml:space="preserve">%) </w:t>
      </w:r>
      <w:r w:rsidR="007E1CD7">
        <w:rPr>
          <w:sz w:val="28"/>
          <w:szCs w:val="28"/>
        </w:rPr>
        <w:t xml:space="preserve"> респондентов, </w:t>
      </w:r>
      <w:r w:rsidR="006B39D4">
        <w:rPr>
          <w:sz w:val="28"/>
          <w:szCs w:val="28"/>
        </w:rPr>
        <w:t xml:space="preserve">в то же время </w:t>
      </w:r>
      <w:r w:rsidR="005D05FE">
        <w:rPr>
          <w:sz w:val="28"/>
          <w:szCs w:val="28"/>
        </w:rPr>
        <w:t>55,0</w:t>
      </w:r>
      <w:r w:rsidR="006B39D4">
        <w:rPr>
          <w:sz w:val="28"/>
          <w:szCs w:val="28"/>
        </w:rPr>
        <w:t xml:space="preserve"> </w:t>
      </w:r>
      <w:r w:rsidR="008A04D0" w:rsidRPr="006B39D4">
        <w:rPr>
          <w:sz w:val="28"/>
          <w:szCs w:val="28"/>
        </w:rPr>
        <w:t xml:space="preserve">%, считают, что на рынке присутствует </w:t>
      </w:r>
      <w:r w:rsidR="0034615C">
        <w:rPr>
          <w:sz w:val="28"/>
          <w:szCs w:val="28"/>
        </w:rPr>
        <w:t>мало</w:t>
      </w:r>
      <w:r w:rsidR="008A04D0" w:rsidRPr="006B39D4">
        <w:rPr>
          <w:sz w:val="28"/>
          <w:szCs w:val="28"/>
        </w:rPr>
        <w:t xml:space="preserve"> организаций, предоставляющих услуги дополнительного образования детей.</w:t>
      </w:r>
      <w:r w:rsidR="008A04D0">
        <w:rPr>
          <w:sz w:val="28"/>
          <w:szCs w:val="28"/>
        </w:rPr>
        <w:t xml:space="preserve"> </w:t>
      </w:r>
    </w:p>
    <w:p w:rsidR="00D82E61" w:rsidRDefault="007E1CD7" w:rsidP="00D82E61">
      <w:pPr>
        <w:ind w:firstLine="646"/>
        <w:contextualSpacing/>
        <w:jc w:val="both"/>
        <w:rPr>
          <w:sz w:val="28"/>
          <w:szCs w:val="28"/>
        </w:rPr>
      </w:pPr>
      <w:r w:rsidRPr="005D05FE">
        <w:rPr>
          <w:sz w:val="28"/>
          <w:szCs w:val="28"/>
        </w:rPr>
        <w:t>По сравнению с прошлым годом доля респондентов удовлетворённых уровнем цен, качеством услуг и возможностью выбора организаций</w:t>
      </w:r>
      <w:r w:rsidR="006D08B3">
        <w:rPr>
          <w:sz w:val="28"/>
          <w:szCs w:val="28"/>
        </w:rPr>
        <w:t xml:space="preserve"> практически не изменилась</w:t>
      </w:r>
      <w:r w:rsidRPr="005D05FE">
        <w:rPr>
          <w:sz w:val="28"/>
          <w:szCs w:val="28"/>
        </w:rPr>
        <w:t>.</w:t>
      </w:r>
      <w:r w:rsidR="00717517" w:rsidRPr="005D05FE">
        <w:rPr>
          <w:sz w:val="28"/>
          <w:szCs w:val="28"/>
        </w:rPr>
        <w:t xml:space="preserve"> </w:t>
      </w:r>
      <w:r w:rsidRPr="005D05FE">
        <w:rPr>
          <w:sz w:val="28"/>
          <w:szCs w:val="28"/>
        </w:rPr>
        <w:t>На рисунке 6 отражено как сложились мнение респондентов</w:t>
      </w:r>
      <w:r w:rsidRPr="00CC1FF1">
        <w:rPr>
          <w:sz w:val="28"/>
          <w:szCs w:val="28"/>
        </w:rPr>
        <w:t xml:space="preserve"> в отношении к ценообразованию, качеству и возможности выбора на рынке </w:t>
      </w:r>
      <w:r>
        <w:rPr>
          <w:sz w:val="28"/>
          <w:szCs w:val="28"/>
        </w:rPr>
        <w:lastRenderedPageBreak/>
        <w:t xml:space="preserve">дополнительного </w:t>
      </w:r>
      <w:r w:rsidRPr="00CC1FF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по сравнению</w:t>
      </w:r>
      <w:r w:rsidRPr="00CC1FF1">
        <w:rPr>
          <w:sz w:val="28"/>
          <w:szCs w:val="28"/>
        </w:rPr>
        <w:t xml:space="preserve"> с прошлым годом в процентном соотношении.</w:t>
      </w:r>
    </w:p>
    <w:p w:rsidR="009D3754" w:rsidRDefault="00D82E61" w:rsidP="00D82E6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Рисунок 6.</w:t>
      </w:r>
    </w:p>
    <w:p w:rsidR="009D3754" w:rsidRDefault="007E1CD7" w:rsidP="00D5175C">
      <w:pPr>
        <w:jc w:val="both"/>
        <w:rPr>
          <w:b/>
          <w:sz w:val="28"/>
          <w:szCs w:val="28"/>
        </w:rPr>
      </w:pPr>
      <w:r w:rsidRPr="007E1CD7">
        <w:rPr>
          <w:b/>
          <w:noProof/>
          <w:sz w:val="28"/>
          <w:szCs w:val="28"/>
        </w:rPr>
        <w:drawing>
          <wp:inline distT="0" distB="0" distL="0" distR="0">
            <wp:extent cx="6086475" cy="2562225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2E61" w:rsidRDefault="00D82E61" w:rsidP="007F0A33">
      <w:pPr>
        <w:ind w:firstLine="644"/>
        <w:jc w:val="both"/>
        <w:rPr>
          <w:sz w:val="28"/>
          <w:szCs w:val="28"/>
        </w:rPr>
      </w:pPr>
    </w:p>
    <w:p w:rsidR="007F0A33" w:rsidRPr="005A7587" w:rsidRDefault="007F0A33" w:rsidP="007F0A33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44FCE">
        <w:rPr>
          <w:sz w:val="28"/>
          <w:szCs w:val="28"/>
        </w:rPr>
        <w:t>Рынок услуг детского отдыха и оздоровления.</w:t>
      </w:r>
    </w:p>
    <w:p w:rsidR="00D82E61" w:rsidRDefault="007F0A33" w:rsidP="007F0A33">
      <w:pPr>
        <w:ind w:firstLine="644"/>
        <w:jc w:val="both"/>
        <w:rPr>
          <w:sz w:val="28"/>
          <w:szCs w:val="28"/>
        </w:rPr>
      </w:pPr>
      <w:r w:rsidRPr="00870886">
        <w:rPr>
          <w:sz w:val="28"/>
          <w:szCs w:val="28"/>
        </w:rPr>
        <w:t xml:space="preserve">Больше </w:t>
      </w:r>
      <w:r w:rsidR="00870886" w:rsidRPr="00870886">
        <w:rPr>
          <w:sz w:val="28"/>
          <w:szCs w:val="28"/>
        </w:rPr>
        <w:t>80</w:t>
      </w:r>
      <w:r w:rsidR="00D82E61" w:rsidRPr="00870886">
        <w:rPr>
          <w:sz w:val="28"/>
          <w:szCs w:val="28"/>
        </w:rPr>
        <w:t xml:space="preserve"> </w:t>
      </w:r>
      <w:r w:rsidRPr="00870886">
        <w:rPr>
          <w:sz w:val="28"/>
          <w:szCs w:val="28"/>
        </w:rPr>
        <w:t>%</w:t>
      </w:r>
      <w:r w:rsidRPr="004A3E7B">
        <w:rPr>
          <w:color w:val="FF0000"/>
          <w:sz w:val="28"/>
          <w:szCs w:val="28"/>
        </w:rPr>
        <w:t xml:space="preserve"> </w:t>
      </w:r>
      <w:r w:rsidR="00CF5499" w:rsidRPr="00602089">
        <w:rPr>
          <w:sz w:val="28"/>
          <w:szCs w:val="28"/>
        </w:rPr>
        <w:t>(</w:t>
      </w:r>
      <w:r w:rsidR="003067FD" w:rsidRPr="00602089">
        <w:rPr>
          <w:sz w:val="28"/>
          <w:szCs w:val="28"/>
        </w:rPr>
        <w:t xml:space="preserve">в </w:t>
      </w:r>
      <w:r w:rsidR="005D05FE" w:rsidRPr="00602089">
        <w:rPr>
          <w:sz w:val="28"/>
          <w:szCs w:val="28"/>
        </w:rPr>
        <w:t>202</w:t>
      </w:r>
      <w:r w:rsidR="004A3E7B">
        <w:rPr>
          <w:sz w:val="28"/>
          <w:szCs w:val="28"/>
        </w:rPr>
        <w:t>2</w:t>
      </w:r>
      <w:r w:rsidR="005D05FE" w:rsidRPr="00602089">
        <w:rPr>
          <w:sz w:val="28"/>
          <w:szCs w:val="28"/>
        </w:rPr>
        <w:t xml:space="preserve"> </w:t>
      </w:r>
      <w:r w:rsidR="00CF5499" w:rsidRPr="00602089">
        <w:rPr>
          <w:sz w:val="28"/>
          <w:szCs w:val="28"/>
        </w:rPr>
        <w:t>году</w:t>
      </w:r>
      <w:r w:rsidR="00D82E61" w:rsidRPr="00602089">
        <w:rPr>
          <w:sz w:val="28"/>
          <w:szCs w:val="28"/>
        </w:rPr>
        <w:t xml:space="preserve"> </w:t>
      </w:r>
      <w:r w:rsidR="00830DDE" w:rsidRPr="00602089">
        <w:rPr>
          <w:sz w:val="28"/>
          <w:szCs w:val="28"/>
        </w:rPr>
        <w:t>-</w:t>
      </w:r>
      <w:r w:rsidR="00D82E61" w:rsidRPr="00602089">
        <w:rPr>
          <w:sz w:val="28"/>
          <w:szCs w:val="28"/>
        </w:rPr>
        <w:t xml:space="preserve"> </w:t>
      </w:r>
      <w:r w:rsidR="004A3E7B">
        <w:rPr>
          <w:sz w:val="28"/>
          <w:szCs w:val="28"/>
        </w:rPr>
        <w:t>81</w:t>
      </w:r>
      <w:r w:rsidR="00D82E61" w:rsidRPr="00602089">
        <w:rPr>
          <w:sz w:val="28"/>
          <w:szCs w:val="28"/>
        </w:rPr>
        <w:t xml:space="preserve"> </w:t>
      </w:r>
      <w:r w:rsidRPr="00602089">
        <w:rPr>
          <w:sz w:val="28"/>
          <w:szCs w:val="28"/>
        </w:rPr>
        <w:t>%) респондентов</w:t>
      </w:r>
      <w:r w:rsidR="00D82E61" w:rsidRPr="00602089">
        <w:rPr>
          <w:sz w:val="28"/>
          <w:szCs w:val="28"/>
        </w:rPr>
        <w:t xml:space="preserve"> </w:t>
      </w:r>
      <w:r w:rsidRPr="00602089">
        <w:rPr>
          <w:sz w:val="28"/>
          <w:szCs w:val="28"/>
        </w:rPr>
        <w:t xml:space="preserve">считают, что рынок услуг детского отдыха и оздоровления развит в </w:t>
      </w:r>
      <w:r w:rsidR="00D82E61" w:rsidRPr="00602089">
        <w:rPr>
          <w:sz w:val="28"/>
          <w:szCs w:val="28"/>
        </w:rPr>
        <w:t>округе</w:t>
      </w:r>
      <w:r w:rsidRPr="00602089">
        <w:rPr>
          <w:sz w:val="28"/>
          <w:szCs w:val="28"/>
        </w:rPr>
        <w:t xml:space="preserve"> слабо, </w:t>
      </w:r>
      <w:r w:rsidR="00D1571E" w:rsidRPr="00602089">
        <w:rPr>
          <w:sz w:val="28"/>
          <w:szCs w:val="28"/>
        </w:rPr>
        <w:t xml:space="preserve">и </w:t>
      </w:r>
      <w:r w:rsidR="00D82E61" w:rsidRPr="00602089">
        <w:rPr>
          <w:sz w:val="28"/>
          <w:szCs w:val="28"/>
        </w:rPr>
        <w:t xml:space="preserve"> лишь </w:t>
      </w:r>
      <w:r w:rsidR="009559C6">
        <w:rPr>
          <w:sz w:val="28"/>
          <w:szCs w:val="28"/>
        </w:rPr>
        <w:t>1</w:t>
      </w:r>
      <w:r w:rsidR="006D08B3">
        <w:rPr>
          <w:sz w:val="28"/>
          <w:szCs w:val="28"/>
        </w:rPr>
        <w:t>2,6</w:t>
      </w:r>
      <w:r w:rsidR="00D82E61" w:rsidRPr="00602089">
        <w:rPr>
          <w:sz w:val="28"/>
          <w:szCs w:val="28"/>
        </w:rPr>
        <w:t xml:space="preserve"> % (</w:t>
      </w:r>
      <w:r w:rsidR="003067FD" w:rsidRPr="00602089">
        <w:rPr>
          <w:sz w:val="28"/>
          <w:szCs w:val="28"/>
        </w:rPr>
        <w:t xml:space="preserve">в </w:t>
      </w:r>
      <w:r w:rsidR="005D05FE" w:rsidRPr="00602089">
        <w:rPr>
          <w:sz w:val="28"/>
          <w:szCs w:val="28"/>
        </w:rPr>
        <w:t>202</w:t>
      </w:r>
      <w:r w:rsidR="004A3E7B">
        <w:rPr>
          <w:sz w:val="28"/>
          <w:szCs w:val="28"/>
        </w:rPr>
        <w:t>2</w:t>
      </w:r>
      <w:r w:rsidR="00D82E61" w:rsidRPr="00602089">
        <w:rPr>
          <w:sz w:val="28"/>
          <w:szCs w:val="28"/>
        </w:rPr>
        <w:t xml:space="preserve"> </w:t>
      </w:r>
      <w:r w:rsidR="003067FD" w:rsidRPr="00602089">
        <w:rPr>
          <w:sz w:val="28"/>
          <w:szCs w:val="28"/>
        </w:rPr>
        <w:t xml:space="preserve">году </w:t>
      </w:r>
      <w:r w:rsidR="005D05FE" w:rsidRPr="00602089">
        <w:rPr>
          <w:sz w:val="28"/>
          <w:szCs w:val="28"/>
        </w:rPr>
        <w:t>–</w:t>
      </w:r>
      <w:r w:rsidR="00D82E61" w:rsidRPr="00602089">
        <w:rPr>
          <w:sz w:val="28"/>
          <w:szCs w:val="28"/>
        </w:rPr>
        <w:t xml:space="preserve"> </w:t>
      </w:r>
      <w:r w:rsidR="005D05FE" w:rsidRPr="00602089">
        <w:rPr>
          <w:sz w:val="28"/>
          <w:szCs w:val="28"/>
        </w:rPr>
        <w:t>1</w:t>
      </w:r>
      <w:r w:rsidR="004A3E7B">
        <w:rPr>
          <w:sz w:val="28"/>
          <w:szCs w:val="28"/>
        </w:rPr>
        <w:t>2</w:t>
      </w:r>
      <w:r w:rsidR="005D05FE" w:rsidRPr="00602089">
        <w:rPr>
          <w:sz w:val="28"/>
          <w:szCs w:val="28"/>
        </w:rPr>
        <w:t>,</w:t>
      </w:r>
      <w:r w:rsidR="004A3E7B">
        <w:rPr>
          <w:sz w:val="28"/>
          <w:szCs w:val="28"/>
        </w:rPr>
        <w:t>9</w:t>
      </w:r>
      <w:r w:rsidR="00D82E61" w:rsidRPr="00602089">
        <w:rPr>
          <w:sz w:val="28"/>
          <w:szCs w:val="28"/>
        </w:rPr>
        <w:t xml:space="preserve"> </w:t>
      </w:r>
      <w:r w:rsidRPr="00602089">
        <w:rPr>
          <w:sz w:val="28"/>
          <w:szCs w:val="28"/>
        </w:rPr>
        <w:t>%)</w:t>
      </w:r>
      <w:r w:rsidR="00D82E61" w:rsidRPr="00602089">
        <w:rPr>
          <w:sz w:val="28"/>
          <w:szCs w:val="28"/>
        </w:rPr>
        <w:t xml:space="preserve"> </w:t>
      </w:r>
      <w:r w:rsidRPr="00602089">
        <w:rPr>
          <w:sz w:val="28"/>
          <w:szCs w:val="28"/>
        </w:rPr>
        <w:t>– считают, что количество организаций, предоставляющих данную услугу</w:t>
      </w:r>
      <w:r w:rsidR="00D82E61" w:rsidRPr="00602089">
        <w:rPr>
          <w:sz w:val="28"/>
          <w:szCs w:val="28"/>
        </w:rPr>
        <w:t xml:space="preserve"> достаточно.</w:t>
      </w:r>
    </w:p>
    <w:p w:rsidR="007F0A33" w:rsidRDefault="00D82E61" w:rsidP="007F0A33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На рисунке 7</w:t>
      </w:r>
      <w:r w:rsidR="007F0A33">
        <w:rPr>
          <w:sz w:val="28"/>
          <w:szCs w:val="28"/>
        </w:rPr>
        <w:t xml:space="preserve"> отражено мнение потребителей об изменении уровня цен, качества и возможности выбора организаций, оказывающих данную услугу. </w:t>
      </w:r>
    </w:p>
    <w:p w:rsidR="00D82E61" w:rsidRDefault="00D82E61" w:rsidP="007F0A33">
      <w:pPr>
        <w:ind w:firstLine="644"/>
        <w:jc w:val="both"/>
        <w:rPr>
          <w:sz w:val="28"/>
          <w:szCs w:val="28"/>
        </w:rPr>
      </w:pPr>
    </w:p>
    <w:p w:rsidR="009D3754" w:rsidRPr="00D82E61" w:rsidRDefault="00D82E61" w:rsidP="00D82E61">
      <w:pPr>
        <w:jc w:val="right"/>
        <w:rPr>
          <w:sz w:val="28"/>
          <w:szCs w:val="28"/>
        </w:rPr>
      </w:pPr>
      <w:r w:rsidRPr="00D82E61">
        <w:rPr>
          <w:sz w:val="28"/>
          <w:szCs w:val="28"/>
        </w:rPr>
        <w:t>Рисунок 7.</w:t>
      </w:r>
    </w:p>
    <w:p w:rsidR="009D3754" w:rsidRDefault="00D82E61" w:rsidP="00D5175C">
      <w:pPr>
        <w:jc w:val="both"/>
        <w:rPr>
          <w:b/>
          <w:sz w:val="28"/>
          <w:szCs w:val="28"/>
        </w:rPr>
      </w:pPr>
      <w:r w:rsidRPr="00D82E61">
        <w:rPr>
          <w:b/>
          <w:noProof/>
          <w:sz w:val="28"/>
          <w:szCs w:val="28"/>
        </w:rPr>
        <w:drawing>
          <wp:inline distT="0" distB="0" distL="0" distR="0">
            <wp:extent cx="6134100" cy="2438400"/>
            <wp:effectExtent l="0" t="0" r="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3754" w:rsidRDefault="009D3754" w:rsidP="00D5175C">
      <w:pPr>
        <w:jc w:val="both"/>
        <w:rPr>
          <w:b/>
          <w:sz w:val="28"/>
          <w:szCs w:val="28"/>
        </w:rPr>
      </w:pPr>
    </w:p>
    <w:p w:rsidR="00D9066F" w:rsidRDefault="00D9066F" w:rsidP="00D9066F">
      <w:pPr>
        <w:ind w:firstLine="644"/>
        <w:jc w:val="both"/>
        <w:rPr>
          <w:sz w:val="28"/>
          <w:szCs w:val="28"/>
        </w:rPr>
      </w:pPr>
      <w:r w:rsidRPr="00BE2F8A">
        <w:rPr>
          <w:sz w:val="28"/>
          <w:szCs w:val="28"/>
        </w:rPr>
        <w:t>6. Рынок медицинских услуг</w:t>
      </w:r>
      <w:r>
        <w:rPr>
          <w:sz w:val="28"/>
          <w:szCs w:val="28"/>
        </w:rPr>
        <w:t>.</w:t>
      </w:r>
    </w:p>
    <w:p w:rsidR="003610A3" w:rsidRDefault="003610A3" w:rsidP="00361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C0D">
        <w:rPr>
          <w:sz w:val="28"/>
          <w:szCs w:val="28"/>
        </w:rPr>
        <w:t xml:space="preserve">В ходе анкетирования выявлено, что </w:t>
      </w:r>
      <w:r w:rsidR="00183123" w:rsidRPr="00351971">
        <w:rPr>
          <w:sz w:val="28"/>
          <w:szCs w:val="28"/>
        </w:rPr>
        <w:t>6</w:t>
      </w:r>
      <w:r w:rsidR="00351971" w:rsidRPr="00351971">
        <w:rPr>
          <w:sz w:val="28"/>
          <w:szCs w:val="28"/>
        </w:rPr>
        <w:t>2,1</w:t>
      </w:r>
      <w:r>
        <w:rPr>
          <w:sz w:val="28"/>
          <w:szCs w:val="28"/>
        </w:rPr>
        <w:t xml:space="preserve"> % </w:t>
      </w:r>
      <w:r w:rsidRPr="00832C0D">
        <w:rPr>
          <w:sz w:val="28"/>
          <w:szCs w:val="28"/>
        </w:rPr>
        <w:t xml:space="preserve">опрошенных </w:t>
      </w:r>
      <w:r>
        <w:rPr>
          <w:sz w:val="28"/>
          <w:szCs w:val="28"/>
        </w:rPr>
        <w:t xml:space="preserve">считают рынок медицинских услуг </w:t>
      </w:r>
      <w:r w:rsidRPr="00832C0D">
        <w:rPr>
          <w:sz w:val="28"/>
          <w:szCs w:val="28"/>
        </w:rPr>
        <w:t>достаточ</w:t>
      </w:r>
      <w:r>
        <w:rPr>
          <w:sz w:val="28"/>
          <w:szCs w:val="28"/>
        </w:rPr>
        <w:t>но</w:t>
      </w:r>
      <w:r w:rsidRPr="00832C0D">
        <w:rPr>
          <w:sz w:val="28"/>
          <w:szCs w:val="28"/>
        </w:rPr>
        <w:t xml:space="preserve"> </w:t>
      </w:r>
      <w:r w:rsidR="00183123">
        <w:rPr>
          <w:sz w:val="28"/>
          <w:szCs w:val="28"/>
        </w:rPr>
        <w:t>развитым (в 202</w:t>
      </w:r>
      <w:r w:rsidR="00B30D67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830DDE">
        <w:rPr>
          <w:sz w:val="28"/>
          <w:szCs w:val="28"/>
        </w:rPr>
        <w:t xml:space="preserve"> </w:t>
      </w:r>
      <w:r w:rsidR="001831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30D67">
        <w:rPr>
          <w:sz w:val="28"/>
          <w:szCs w:val="28"/>
        </w:rPr>
        <w:t>61,9</w:t>
      </w:r>
      <w:r>
        <w:rPr>
          <w:sz w:val="28"/>
          <w:szCs w:val="28"/>
        </w:rPr>
        <w:t xml:space="preserve"> </w:t>
      </w:r>
      <w:r w:rsidRPr="00082D8A">
        <w:rPr>
          <w:sz w:val="28"/>
          <w:szCs w:val="28"/>
        </w:rPr>
        <w:t xml:space="preserve">%), </w:t>
      </w:r>
      <w:r w:rsidR="00082D8A" w:rsidRPr="00082D8A">
        <w:rPr>
          <w:sz w:val="28"/>
          <w:szCs w:val="28"/>
        </w:rPr>
        <w:t>33,2</w:t>
      </w:r>
      <w:r w:rsidRPr="00082D8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считают</w:t>
      </w:r>
      <w:proofErr w:type="gramEnd"/>
      <w:r>
        <w:rPr>
          <w:sz w:val="28"/>
          <w:szCs w:val="28"/>
        </w:rPr>
        <w:t xml:space="preserve"> что д</w:t>
      </w:r>
      <w:r w:rsidR="00183123">
        <w:rPr>
          <w:sz w:val="28"/>
          <w:szCs w:val="28"/>
        </w:rPr>
        <w:t>анный рынок  мало развит (в 202</w:t>
      </w:r>
      <w:r w:rsidR="00B30D6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B30D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30D67">
        <w:rPr>
          <w:sz w:val="28"/>
          <w:szCs w:val="28"/>
        </w:rPr>
        <w:t>31,7</w:t>
      </w:r>
      <w:r w:rsidR="00C57B93">
        <w:rPr>
          <w:sz w:val="28"/>
          <w:szCs w:val="28"/>
        </w:rPr>
        <w:t xml:space="preserve"> %) </w:t>
      </w:r>
      <w:r w:rsidR="00C57B93" w:rsidRPr="00082D8A">
        <w:rPr>
          <w:sz w:val="28"/>
          <w:szCs w:val="28"/>
        </w:rPr>
        <w:t xml:space="preserve">и </w:t>
      </w:r>
      <w:r w:rsidR="00082D8A" w:rsidRPr="00082D8A">
        <w:rPr>
          <w:sz w:val="28"/>
          <w:szCs w:val="28"/>
        </w:rPr>
        <w:t>4,7</w:t>
      </w:r>
      <w:r w:rsidR="00C57B93">
        <w:rPr>
          <w:sz w:val="28"/>
          <w:szCs w:val="28"/>
        </w:rPr>
        <w:t xml:space="preserve"> </w:t>
      </w:r>
      <w:r>
        <w:rPr>
          <w:sz w:val="28"/>
          <w:szCs w:val="28"/>
        </w:rPr>
        <w:t>% опрошенных затруднились с ответом (</w:t>
      </w:r>
      <w:r w:rsidR="00183123">
        <w:rPr>
          <w:sz w:val="28"/>
          <w:szCs w:val="28"/>
        </w:rPr>
        <w:t>в 202</w:t>
      </w:r>
      <w:r w:rsidR="00B30D67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830DDE">
        <w:rPr>
          <w:sz w:val="28"/>
          <w:szCs w:val="28"/>
        </w:rPr>
        <w:t xml:space="preserve"> </w:t>
      </w:r>
      <w:r w:rsidR="00183123">
        <w:rPr>
          <w:sz w:val="28"/>
          <w:szCs w:val="28"/>
        </w:rPr>
        <w:t>–</w:t>
      </w:r>
      <w:r w:rsidRPr="00191D84">
        <w:rPr>
          <w:sz w:val="28"/>
          <w:szCs w:val="28"/>
        </w:rPr>
        <w:t xml:space="preserve"> </w:t>
      </w:r>
      <w:r w:rsidR="00B30D67">
        <w:rPr>
          <w:sz w:val="28"/>
          <w:szCs w:val="28"/>
        </w:rPr>
        <w:t>6</w:t>
      </w:r>
      <w:r w:rsidR="00183123">
        <w:rPr>
          <w:sz w:val="28"/>
          <w:szCs w:val="28"/>
        </w:rPr>
        <w:t>,4</w:t>
      </w:r>
      <w:r w:rsidR="00C57B93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  <w:r w:rsidRPr="00832C0D">
        <w:rPr>
          <w:sz w:val="28"/>
          <w:szCs w:val="28"/>
        </w:rPr>
        <w:t xml:space="preserve"> </w:t>
      </w:r>
    </w:p>
    <w:p w:rsidR="00C57B93" w:rsidRDefault="00C57B93" w:rsidP="00C57B93">
      <w:pPr>
        <w:ind w:firstLine="644"/>
        <w:jc w:val="both"/>
        <w:rPr>
          <w:sz w:val="28"/>
          <w:szCs w:val="28"/>
        </w:rPr>
      </w:pPr>
      <w:r w:rsidRPr="00183123">
        <w:rPr>
          <w:sz w:val="28"/>
          <w:szCs w:val="28"/>
        </w:rPr>
        <w:t xml:space="preserve">По сравнению с прошлым годом значительно увеличилась доля респондентов удовлетворённых </w:t>
      </w:r>
      <w:r w:rsidR="00183123" w:rsidRPr="00183123">
        <w:rPr>
          <w:sz w:val="28"/>
          <w:szCs w:val="28"/>
        </w:rPr>
        <w:t>возможностью выбора организаций</w:t>
      </w:r>
      <w:r w:rsidRPr="00183123">
        <w:rPr>
          <w:sz w:val="28"/>
          <w:szCs w:val="28"/>
        </w:rPr>
        <w:t xml:space="preserve"> на представленном рынке</w:t>
      </w:r>
      <w:r>
        <w:rPr>
          <w:sz w:val="28"/>
          <w:szCs w:val="28"/>
        </w:rPr>
        <w:t xml:space="preserve">. </w:t>
      </w:r>
      <w:r w:rsidRPr="00C5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рисунке 8 отражено мнение потребителей об </w:t>
      </w:r>
      <w:r>
        <w:rPr>
          <w:sz w:val="28"/>
          <w:szCs w:val="28"/>
        </w:rPr>
        <w:lastRenderedPageBreak/>
        <w:t xml:space="preserve">изменении уровня цен, качества и возможности выбора организаций, оказывающих данную услугу. </w:t>
      </w:r>
    </w:p>
    <w:p w:rsidR="00C57B93" w:rsidRDefault="00C57B93" w:rsidP="00C57B93">
      <w:pPr>
        <w:ind w:firstLine="644"/>
        <w:jc w:val="right"/>
        <w:rPr>
          <w:sz w:val="28"/>
          <w:szCs w:val="28"/>
        </w:rPr>
      </w:pPr>
      <w:r>
        <w:rPr>
          <w:sz w:val="28"/>
          <w:szCs w:val="28"/>
        </w:rPr>
        <w:t>Рисунок 8.</w:t>
      </w:r>
    </w:p>
    <w:p w:rsidR="009D3754" w:rsidRDefault="00C57B93" w:rsidP="00D9066F">
      <w:pPr>
        <w:jc w:val="both"/>
        <w:rPr>
          <w:b/>
          <w:sz w:val="28"/>
          <w:szCs w:val="28"/>
        </w:rPr>
      </w:pPr>
      <w:r w:rsidRPr="00C57B93">
        <w:rPr>
          <w:b/>
          <w:noProof/>
          <w:sz w:val="28"/>
          <w:szCs w:val="28"/>
        </w:rPr>
        <w:drawing>
          <wp:inline distT="0" distB="0" distL="0" distR="0">
            <wp:extent cx="6134100" cy="2438400"/>
            <wp:effectExtent l="0" t="0" r="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00C0" w:rsidRDefault="000800C0" w:rsidP="000800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E31C6">
        <w:rPr>
          <w:sz w:val="28"/>
          <w:szCs w:val="28"/>
        </w:rPr>
        <w:t>Рынок</w:t>
      </w:r>
      <w:r>
        <w:rPr>
          <w:sz w:val="28"/>
          <w:szCs w:val="28"/>
        </w:rPr>
        <w:t xml:space="preserve"> услуг</w:t>
      </w:r>
      <w:r w:rsidRPr="00DE31C6">
        <w:rPr>
          <w:sz w:val="28"/>
          <w:szCs w:val="28"/>
        </w:rPr>
        <w:t xml:space="preserve"> розничной торговли лекарственными препаратами,  медицинскими изделиями и сопутствующими товарами</w:t>
      </w:r>
      <w:r>
        <w:rPr>
          <w:sz w:val="28"/>
          <w:szCs w:val="28"/>
        </w:rPr>
        <w:t>.</w:t>
      </w:r>
    </w:p>
    <w:p w:rsidR="000800C0" w:rsidRPr="00082D8A" w:rsidRDefault="000800C0" w:rsidP="000800C0">
      <w:pPr>
        <w:ind w:firstLine="851"/>
        <w:jc w:val="both"/>
        <w:rPr>
          <w:sz w:val="28"/>
          <w:szCs w:val="28"/>
        </w:rPr>
      </w:pPr>
      <w:r w:rsidRPr="009155A0">
        <w:rPr>
          <w:sz w:val="28"/>
          <w:szCs w:val="28"/>
        </w:rPr>
        <w:t xml:space="preserve">Достаточно </w:t>
      </w:r>
      <w:proofErr w:type="gramStart"/>
      <w:r w:rsidRPr="009155A0">
        <w:rPr>
          <w:sz w:val="28"/>
          <w:szCs w:val="28"/>
        </w:rPr>
        <w:t>развитым</w:t>
      </w:r>
      <w:proofErr w:type="gramEnd"/>
      <w:r w:rsidRPr="009155A0">
        <w:rPr>
          <w:sz w:val="28"/>
          <w:szCs w:val="28"/>
        </w:rPr>
        <w:t xml:space="preserve"> рынок</w:t>
      </w:r>
      <w:r>
        <w:rPr>
          <w:sz w:val="28"/>
          <w:szCs w:val="28"/>
        </w:rPr>
        <w:t xml:space="preserve"> услуг</w:t>
      </w:r>
      <w:r w:rsidRPr="009155A0">
        <w:rPr>
          <w:sz w:val="28"/>
          <w:szCs w:val="28"/>
        </w:rPr>
        <w:t xml:space="preserve"> розничной торговли лекарственными препаратами, медицинскими изделиями и сопутствующими товарами посчитали </w:t>
      </w:r>
      <w:r w:rsidR="00082D8A" w:rsidRPr="00082D8A">
        <w:rPr>
          <w:sz w:val="28"/>
          <w:szCs w:val="28"/>
        </w:rPr>
        <w:t>53,4</w:t>
      </w:r>
      <w:r w:rsidRPr="00082D8A">
        <w:rPr>
          <w:sz w:val="28"/>
          <w:szCs w:val="28"/>
        </w:rPr>
        <w:t xml:space="preserve"> % (</w:t>
      </w:r>
      <w:r w:rsidR="00E23F10" w:rsidRPr="00082D8A">
        <w:rPr>
          <w:sz w:val="28"/>
          <w:szCs w:val="28"/>
        </w:rPr>
        <w:t>в 202</w:t>
      </w:r>
      <w:r w:rsidR="0051319F" w:rsidRPr="00082D8A">
        <w:rPr>
          <w:sz w:val="28"/>
          <w:szCs w:val="28"/>
        </w:rPr>
        <w:t>2</w:t>
      </w:r>
      <w:r w:rsidR="003067FD" w:rsidRPr="00082D8A">
        <w:rPr>
          <w:sz w:val="28"/>
          <w:szCs w:val="28"/>
        </w:rPr>
        <w:t xml:space="preserve"> году</w:t>
      </w:r>
      <w:r w:rsidRPr="00082D8A">
        <w:rPr>
          <w:sz w:val="28"/>
          <w:szCs w:val="28"/>
        </w:rPr>
        <w:t xml:space="preserve"> </w:t>
      </w:r>
      <w:r w:rsidR="00E23F10" w:rsidRPr="00082D8A">
        <w:rPr>
          <w:sz w:val="28"/>
          <w:szCs w:val="28"/>
        </w:rPr>
        <w:t>–</w:t>
      </w:r>
      <w:r w:rsidRPr="00082D8A">
        <w:rPr>
          <w:sz w:val="28"/>
          <w:szCs w:val="28"/>
        </w:rPr>
        <w:t xml:space="preserve"> </w:t>
      </w:r>
      <w:r w:rsidR="00E23F10" w:rsidRPr="00082D8A">
        <w:rPr>
          <w:sz w:val="28"/>
          <w:szCs w:val="28"/>
        </w:rPr>
        <w:t>59,4</w:t>
      </w:r>
      <w:r w:rsidRPr="00082D8A">
        <w:rPr>
          <w:sz w:val="28"/>
          <w:szCs w:val="28"/>
        </w:rPr>
        <w:t xml:space="preserve"> %) респондентов.</w:t>
      </w:r>
    </w:p>
    <w:p w:rsidR="000800C0" w:rsidRDefault="000800C0" w:rsidP="000800C0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рисунке 9 отражено мнение потребителей об изменении уровня цен, качества и возможности выбора организаций, оказывающих данную услугу. </w:t>
      </w:r>
    </w:p>
    <w:p w:rsidR="00A6676B" w:rsidRDefault="00A6676B" w:rsidP="00A6676B">
      <w:pPr>
        <w:ind w:firstLine="644"/>
        <w:jc w:val="right"/>
        <w:rPr>
          <w:sz w:val="28"/>
          <w:szCs w:val="28"/>
        </w:rPr>
      </w:pPr>
      <w:r>
        <w:rPr>
          <w:sz w:val="28"/>
          <w:szCs w:val="28"/>
        </w:rPr>
        <w:t>Рисунок 9.</w:t>
      </w:r>
    </w:p>
    <w:p w:rsidR="009D3754" w:rsidRDefault="00A6676B" w:rsidP="00D5175C">
      <w:pPr>
        <w:jc w:val="both"/>
        <w:rPr>
          <w:b/>
          <w:sz w:val="28"/>
          <w:szCs w:val="28"/>
        </w:rPr>
      </w:pPr>
      <w:r w:rsidRPr="00A6676B">
        <w:rPr>
          <w:b/>
          <w:noProof/>
          <w:sz w:val="28"/>
          <w:szCs w:val="28"/>
        </w:rPr>
        <w:drawing>
          <wp:inline distT="0" distB="0" distL="0" distR="0">
            <wp:extent cx="6181725" cy="2609850"/>
            <wp:effectExtent l="0" t="0" r="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252A" w:rsidRDefault="000D252A" w:rsidP="00522D51">
      <w:pPr>
        <w:ind w:firstLine="644"/>
        <w:jc w:val="both"/>
        <w:rPr>
          <w:sz w:val="28"/>
          <w:szCs w:val="28"/>
        </w:rPr>
      </w:pPr>
    </w:p>
    <w:p w:rsidR="00522D51" w:rsidRDefault="00522D51" w:rsidP="00522D51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D459F">
        <w:rPr>
          <w:sz w:val="28"/>
          <w:szCs w:val="28"/>
        </w:rPr>
        <w:t>Рынок услуг психолого-педагогического сопровождения детей с ограниченными возможностями здоровья</w:t>
      </w:r>
      <w:r>
        <w:rPr>
          <w:sz w:val="28"/>
          <w:szCs w:val="28"/>
        </w:rPr>
        <w:t>.</w:t>
      </w:r>
    </w:p>
    <w:p w:rsidR="00522D51" w:rsidRDefault="00522D51" w:rsidP="00522D51">
      <w:pPr>
        <w:ind w:firstLine="644"/>
        <w:jc w:val="both"/>
        <w:rPr>
          <w:sz w:val="28"/>
          <w:szCs w:val="28"/>
        </w:rPr>
      </w:pPr>
      <w:r w:rsidRPr="00575466">
        <w:rPr>
          <w:sz w:val="28"/>
          <w:szCs w:val="28"/>
        </w:rPr>
        <w:t xml:space="preserve">Подавляющее большинство </w:t>
      </w:r>
      <w:r w:rsidRPr="00082D8A">
        <w:rPr>
          <w:sz w:val="28"/>
          <w:szCs w:val="28"/>
        </w:rPr>
        <w:t xml:space="preserve">респондентов </w:t>
      </w:r>
      <w:r w:rsidR="00B152A6" w:rsidRPr="00082D8A">
        <w:rPr>
          <w:sz w:val="28"/>
          <w:szCs w:val="28"/>
        </w:rPr>
        <w:t>75,</w:t>
      </w:r>
      <w:r w:rsidR="00082D8A" w:rsidRPr="00082D8A">
        <w:rPr>
          <w:sz w:val="28"/>
          <w:szCs w:val="28"/>
        </w:rPr>
        <w:t>9</w:t>
      </w:r>
      <w:r w:rsidRPr="00575466">
        <w:rPr>
          <w:sz w:val="28"/>
          <w:szCs w:val="28"/>
        </w:rPr>
        <w:t xml:space="preserve"> % (</w:t>
      </w:r>
      <w:r w:rsidR="00B152A6" w:rsidRPr="00575466">
        <w:rPr>
          <w:sz w:val="28"/>
          <w:szCs w:val="28"/>
        </w:rPr>
        <w:t>в 202</w:t>
      </w:r>
      <w:r w:rsidR="00370ED1">
        <w:rPr>
          <w:sz w:val="28"/>
          <w:szCs w:val="28"/>
        </w:rPr>
        <w:t>2</w:t>
      </w:r>
      <w:r w:rsidR="007139C5" w:rsidRPr="00575466">
        <w:rPr>
          <w:sz w:val="28"/>
          <w:szCs w:val="28"/>
        </w:rPr>
        <w:t xml:space="preserve"> году</w:t>
      </w:r>
      <w:r w:rsidRPr="00575466">
        <w:rPr>
          <w:sz w:val="28"/>
          <w:szCs w:val="28"/>
        </w:rPr>
        <w:t xml:space="preserve"> </w:t>
      </w:r>
      <w:r w:rsidR="00B152A6" w:rsidRPr="00575466">
        <w:rPr>
          <w:sz w:val="28"/>
          <w:szCs w:val="28"/>
        </w:rPr>
        <w:t>–</w:t>
      </w:r>
      <w:r w:rsidRPr="00575466">
        <w:rPr>
          <w:sz w:val="28"/>
          <w:szCs w:val="28"/>
        </w:rPr>
        <w:t xml:space="preserve"> </w:t>
      </w:r>
      <w:r w:rsidR="00370ED1">
        <w:rPr>
          <w:sz w:val="28"/>
          <w:szCs w:val="28"/>
        </w:rPr>
        <w:t>75</w:t>
      </w:r>
      <w:r w:rsidR="00B152A6" w:rsidRPr="00575466">
        <w:rPr>
          <w:sz w:val="28"/>
          <w:szCs w:val="28"/>
        </w:rPr>
        <w:t>,2</w:t>
      </w:r>
      <w:r w:rsidRPr="00575466">
        <w:rPr>
          <w:sz w:val="28"/>
          <w:szCs w:val="28"/>
        </w:rPr>
        <w:t xml:space="preserve"> %) считают что организаций, оказывающих подобные услуги в округе не</w:t>
      </w:r>
      <w:r>
        <w:rPr>
          <w:sz w:val="28"/>
          <w:szCs w:val="28"/>
        </w:rPr>
        <w:t xml:space="preserve"> достаточно. И всего лишь </w:t>
      </w:r>
      <w:r w:rsidR="00082D8A" w:rsidRPr="00082D8A">
        <w:rPr>
          <w:sz w:val="28"/>
          <w:szCs w:val="28"/>
        </w:rPr>
        <w:t>8,7</w:t>
      </w:r>
      <w:r w:rsidRPr="00082D8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</w:t>
      </w:r>
      <w:r w:rsidR="00575466">
        <w:rPr>
          <w:sz w:val="28"/>
          <w:szCs w:val="28"/>
        </w:rPr>
        <w:t>в 202</w:t>
      </w:r>
      <w:r w:rsidR="00370ED1">
        <w:rPr>
          <w:sz w:val="28"/>
          <w:szCs w:val="28"/>
        </w:rPr>
        <w:t>2</w:t>
      </w:r>
      <w:r w:rsidR="007139C5">
        <w:rPr>
          <w:sz w:val="28"/>
          <w:szCs w:val="28"/>
        </w:rPr>
        <w:t xml:space="preserve"> году</w:t>
      </w:r>
      <w:r w:rsidR="00830DD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370ED1">
        <w:rPr>
          <w:sz w:val="28"/>
          <w:szCs w:val="28"/>
        </w:rPr>
        <w:t>9,9</w:t>
      </w:r>
      <w:r>
        <w:rPr>
          <w:sz w:val="28"/>
          <w:szCs w:val="28"/>
        </w:rPr>
        <w:t xml:space="preserve"> %) респондентов указали, что подобных организаций достаточно, </w:t>
      </w:r>
      <w:r w:rsidRPr="00CD459F">
        <w:rPr>
          <w:sz w:val="28"/>
          <w:szCs w:val="28"/>
        </w:rPr>
        <w:t>затруднились в оценке рынка услуг психолого-педагогического сопровождения детей с ограниченными возможностями</w:t>
      </w:r>
      <w:r w:rsidR="00575466">
        <w:rPr>
          <w:sz w:val="28"/>
          <w:szCs w:val="28"/>
        </w:rPr>
        <w:t xml:space="preserve"> </w:t>
      </w:r>
      <w:r w:rsidR="00082D8A" w:rsidRPr="00082D8A">
        <w:rPr>
          <w:sz w:val="28"/>
          <w:szCs w:val="28"/>
        </w:rPr>
        <w:t>15,4</w:t>
      </w:r>
      <w:r w:rsidRPr="00082D8A">
        <w:rPr>
          <w:sz w:val="28"/>
          <w:szCs w:val="28"/>
        </w:rPr>
        <w:t xml:space="preserve"> % (</w:t>
      </w:r>
      <w:r w:rsidR="00575466" w:rsidRPr="00082D8A">
        <w:rPr>
          <w:sz w:val="28"/>
          <w:szCs w:val="28"/>
        </w:rPr>
        <w:t>в 202</w:t>
      </w:r>
      <w:r w:rsidR="00370ED1" w:rsidRPr="00082D8A">
        <w:rPr>
          <w:sz w:val="28"/>
          <w:szCs w:val="28"/>
        </w:rPr>
        <w:t>2</w:t>
      </w:r>
      <w:r w:rsidR="007139C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830DDE">
        <w:rPr>
          <w:sz w:val="28"/>
          <w:szCs w:val="28"/>
        </w:rPr>
        <w:t>-</w:t>
      </w:r>
      <w:r w:rsidR="00575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0ED1">
        <w:rPr>
          <w:sz w:val="28"/>
          <w:szCs w:val="28"/>
        </w:rPr>
        <w:t>14,6</w:t>
      </w:r>
      <w:r w:rsidR="00575466">
        <w:rPr>
          <w:sz w:val="28"/>
          <w:szCs w:val="28"/>
        </w:rPr>
        <w:t xml:space="preserve"> </w:t>
      </w:r>
      <w:r>
        <w:rPr>
          <w:sz w:val="28"/>
          <w:szCs w:val="28"/>
        </w:rPr>
        <w:t>%) респондентов</w:t>
      </w:r>
      <w:r w:rsidR="00575466">
        <w:rPr>
          <w:sz w:val="28"/>
          <w:szCs w:val="28"/>
        </w:rPr>
        <w:t>.</w:t>
      </w:r>
    </w:p>
    <w:p w:rsidR="00B71B99" w:rsidRDefault="00B71B99" w:rsidP="00B71B9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10 отражено мнение потребителей об изменении уровня цен, качества и возможности выбора организаций, оказывающих данную услугу. </w:t>
      </w:r>
    </w:p>
    <w:p w:rsidR="00B71B99" w:rsidRDefault="00B71B99" w:rsidP="00B71B99">
      <w:pPr>
        <w:ind w:firstLine="64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Рисунок 10.</w:t>
      </w:r>
    </w:p>
    <w:p w:rsidR="009D3754" w:rsidRDefault="00B71B99" w:rsidP="00B71B99">
      <w:pPr>
        <w:jc w:val="both"/>
        <w:rPr>
          <w:b/>
          <w:sz w:val="28"/>
          <w:szCs w:val="28"/>
        </w:rPr>
      </w:pPr>
      <w:r w:rsidRPr="00B71B99">
        <w:rPr>
          <w:b/>
          <w:noProof/>
          <w:sz w:val="28"/>
          <w:szCs w:val="28"/>
        </w:rPr>
        <w:drawing>
          <wp:inline distT="0" distB="0" distL="0" distR="0">
            <wp:extent cx="6134100" cy="2438400"/>
            <wp:effectExtent l="0" t="0" r="0" b="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11DD" w:rsidRDefault="009B11DD" w:rsidP="009B1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11DD">
        <w:rPr>
          <w:sz w:val="28"/>
          <w:szCs w:val="28"/>
        </w:rPr>
        <w:t>9. Рынок социальных услуг</w:t>
      </w:r>
      <w:r>
        <w:rPr>
          <w:sz w:val="28"/>
          <w:szCs w:val="28"/>
        </w:rPr>
        <w:t>.</w:t>
      </w:r>
    </w:p>
    <w:p w:rsidR="009B11DD" w:rsidRPr="00C86E22" w:rsidRDefault="009B11DD" w:rsidP="009B11DD">
      <w:pPr>
        <w:shd w:val="clear" w:color="auto" w:fill="FFFFFF"/>
        <w:ind w:firstLine="709"/>
        <w:jc w:val="both"/>
        <w:rPr>
          <w:sz w:val="28"/>
          <w:szCs w:val="28"/>
        </w:rPr>
      </w:pPr>
      <w:r w:rsidRPr="00C86E22">
        <w:rPr>
          <w:sz w:val="28"/>
          <w:szCs w:val="28"/>
        </w:rPr>
        <w:t>Большая часть опрошенны</w:t>
      </w:r>
      <w:r w:rsidR="004B07B5">
        <w:rPr>
          <w:sz w:val="28"/>
          <w:szCs w:val="28"/>
        </w:rPr>
        <w:t>х</w:t>
      </w:r>
      <w:r w:rsidRPr="00C86E22">
        <w:rPr>
          <w:sz w:val="28"/>
          <w:szCs w:val="28"/>
        </w:rPr>
        <w:t xml:space="preserve"> считает, что рынок социальных услуг</w:t>
      </w:r>
      <w:r>
        <w:rPr>
          <w:sz w:val="28"/>
          <w:szCs w:val="28"/>
        </w:rPr>
        <w:t xml:space="preserve">  не достаточно развит </w:t>
      </w:r>
      <w:r w:rsidR="00082D8A" w:rsidRPr="00082D8A">
        <w:rPr>
          <w:sz w:val="28"/>
          <w:szCs w:val="28"/>
        </w:rPr>
        <w:t>– 54,5</w:t>
      </w:r>
      <w:r>
        <w:rPr>
          <w:sz w:val="28"/>
          <w:szCs w:val="28"/>
        </w:rPr>
        <w:t xml:space="preserve"> </w:t>
      </w:r>
      <w:r w:rsidRPr="00C86E22">
        <w:rPr>
          <w:sz w:val="28"/>
          <w:szCs w:val="28"/>
        </w:rPr>
        <w:t xml:space="preserve">% </w:t>
      </w:r>
      <w:r w:rsidR="006F24AB">
        <w:rPr>
          <w:sz w:val="28"/>
          <w:szCs w:val="28"/>
        </w:rPr>
        <w:t>(в 202</w:t>
      </w:r>
      <w:r w:rsidR="00715A28">
        <w:rPr>
          <w:sz w:val="28"/>
          <w:szCs w:val="28"/>
        </w:rPr>
        <w:t>2</w:t>
      </w:r>
      <w:r w:rsidR="00763141">
        <w:rPr>
          <w:sz w:val="28"/>
          <w:szCs w:val="28"/>
        </w:rPr>
        <w:t xml:space="preserve"> году </w:t>
      </w:r>
      <w:r w:rsidR="006F24AB">
        <w:rPr>
          <w:sz w:val="28"/>
          <w:szCs w:val="28"/>
        </w:rPr>
        <w:t>–</w:t>
      </w:r>
      <w:r w:rsidR="00763141">
        <w:rPr>
          <w:sz w:val="28"/>
          <w:szCs w:val="28"/>
        </w:rPr>
        <w:t xml:space="preserve"> </w:t>
      </w:r>
      <w:r w:rsidR="006F24AB">
        <w:rPr>
          <w:sz w:val="28"/>
          <w:szCs w:val="28"/>
        </w:rPr>
        <w:t>5</w:t>
      </w:r>
      <w:r w:rsidR="00715A28">
        <w:rPr>
          <w:sz w:val="28"/>
          <w:szCs w:val="28"/>
        </w:rPr>
        <w:t>7,4</w:t>
      </w:r>
      <w:r>
        <w:rPr>
          <w:sz w:val="28"/>
          <w:szCs w:val="28"/>
        </w:rPr>
        <w:t>%)</w:t>
      </w:r>
      <w:r w:rsidRPr="00C86E22">
        <w:rPr>
          <w:sz w:val="28"/>
          <w:szCs w:val="28"/>
        </w:rPr>
        <w:t xml:space="preserve">, </w:t>
      </w:r>
      <w:r w:rsidR="00082D8A" w:rsidRPr="00082D8A">
        <w:rPr>
          <w:sz w:val="28"/>
          <w:szCs w:val="28"/>
        </w:rPr>
        <w:t>32</w:t>
      </w:r>
      <w:r w:rsidR="00763141" w:rsidRPr="00082D8A">
        <w:rPr>
          <w:sz w:val="28"/>
          <w:szCs w:val="28"/>
        </w:rPr>
        <w:t xml:space="preserve"> </w:t>
      </w:r>
      <w:r w:rsidRPr="00082D8A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6F24AB">
        <w:rPr>
          <w:sz w:val="28"/>
          <w:szCs w:val="28"/>
        </w:rPr>
        <w:t>в 202</w:t>
      </w:r>
      <w:r w:rsidR="00715A28">
        <w:rPr>
          <w:sz w:val="28"/>
          <w:szCs w:val="28"/>
        </w:rPr>
        <w:t>2</w:t>
      </w:r>
      <w:r w:rsidR="00763141">
        <w:rPr>
          <w:sz w:val="28"/>
          <w:szCs w:val="28"/>
        </w:rPr>
        <w:t xml:space="preserve"> году</w:t>
      </w:r>
      <w:r w:rsidR="00830DDE">
        <w:rPr>
          <w:sz w:val="28"/>
          <w:szCs w:val="28"/>
        </w:rPr>
        <w:t xml:space="preserve"> </w:t>
      </w:r>
      <w:r w:rsidR="006F24AB">
        <w:rPr>
          <w:sz w:val="28"/>
          <w:szCs w:val="28"/>
        </w:rPr>
        <w:t xml:space="preserve">– </w:t>
      </w:r>
      <w:r w:rsidR="00715A28">
        <w:rPr>
          <w:sz w:val="28"/>
          <w:szCs w:val="28"/>
        </w:rPr>
        <w:t>31,2</w:t>
      </w:r>
      <w:r w:rsidR="00763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 </w:t>
      </w:r>
      <w:r w:rsidRPr="00C86E22">
        <w:rPr>
          <w:sz w:val="28"/>
          <w:szCs w:val="28"/>
        </w:rPr>
        <w:t xml:space="preserve">респондентов полагают, что таких организаций </w:t>
      </w:r>
      <w:r w:rsidR="00763141">
        <w:rPr>
          <w:sz w:val="28"/>
          <w:szCs w:val="28"/>
        </w:rPr>
        <w:t>достаточно.</w:t>
      </w:r>
      <w:r w:rsidRPr="00C86E22">
        <w:rPr>
          <w:sz w:val="28"/>
          <w:szCs w:val="28"/>
        </w:rPr>
        <w:t xml:space="preserve"> </w:t>
      </w:r>
      <w:r w:rsidR="00763141">
        <w:rPr>
          <w:sz w:val="28"/>
          <w:szCs w:val="28"/>
        </w:rPr>
        <w:t>Данный ви</w:t>
      </w:r>
      <w:r w:rsidR="006F24AB">
        <w:rPr>
          <w:sz w:val="28"/>
          <w:szCs w:val="28"/>
        </w:rPr>
        <w:t xml:space="preserve">д услуг </w:t>
      </w:r>
      <w:r w:rsidR="00763141">
        <w:rPr>
          <w:sz w:val="28"/>
          <w:szCs w:val="28"/>
        </w:rPr>
        <w:t>является достаточно специфическим для большинства населения, в связи</w:t>
      </w:r>
      <w:r w:rsidR="007139C5">
        <w:rPr>
          <w:sz w:val="28"/>
          <w:szCs w:val="28"/>
        </w:rPr>
        <w:t>,</w:t>
      </w:r>
      <w:r w:rsidR="00763141">
        <w:rPr>
          <w:sz w:val="28"/>
          <w:szCs w:val="28"/>
        </w:rPr>
        <w:t xml:space="preserve"> с чем </w:t>
      </w:r>
      <w:r w:rsidR="00082D8A" w:rsidRPr="00082D8A">
        <w:rPr>
          <w:sz w:val="28"/>
          <w:szCs w:val="28"/>
        </w:rPr>
        <w:t>13,</w:t>
      </w:r>
      <w:r w:rsidR="00082D8A">
        <w:rPr>
          <w:sz w:val="28"/>
          <w:szCs w:val="28"/>
        </w:rPr>
        <w:t>5</w:t>
      </w:r>
      <w:r w:rsidR="00763141">
        <w:rPr>
          <w:sz w:val="28"/>
          <w:szCs w:val="28"/>
        </w:rPr>
        <w:t xml:space="preserve"> </w:t>
      </w:r>
      <w:r w:rsidRPr="00C86E22">
        <w:rPr>
          <w:sz w:val="28"/>
          <w:szCs w:val="28"/>
        </w:rPr>
        <w:t xml:space="preserve">% </w:t>
      </w:r>
      <w:r w:rsidR="006F24AB">
        <w:rPr>
          <w:sz w:val="28"/>
          <w:szCs w:val="28"/>
        </w:rPr>
        <w:t>(в 202</w:t>
      </w:r>
      <w:r w:rsidR="00715A28">
        <w:rPr>
          <w:sz w:val="28"/>
          <w:szCs w:val="28"/>
        </w:rPr>
        <w:t>2</w:t>
      </w:r>
      <w:r w:rsidR="00763141">
        <w:rPr>
          <w:sz w:val="28"/>
          <w:szCs w:val="28"/>
        </w:rPr>
        <w:t xml:space="preserve"> году </w:t>
      </w:r>
      <w:r w:rsidR="006F24AB">
        <w:rPr>
          <w:sz w:val="28"/>
          <w:szCs w:val="28"/>
        </w:rPr>
        <w:t>–</w:t>
      </w:r>
      <w:r w:rsidR="00830DDE">
        <w:rPr>
          <w:sz w:val="28"/>
          <w:szCs w:val="28"/>
        </w:rPr>
        <w:t xml:space="preserve"> </w:t>
      </w:r>
      <w:r w:rsidR="006F24AB">
        <w:rPr>
          <w:sz w:val="28"/>
          <w:szCs w:val="28"/>
        </w:rPr>
        <w:t>1</w:t>
      </w:r>
      <w:r w:rsidR="00715A28">
        <w:rPr>
          <w:sz w:val="28"/>
          <w:szCs w:val="28"/>
        </w:rPr>
        <w:t>1</w:t>
      </w:r>
      <w:r w:rsidR="006F24AB">
        <w:rPr>
          <w:sz w:val="28"/>
          <w:szCs w:val="28"/>
        </w:rPr>
        <w:t>,</w:t>
      </w:r>
      <w:r w:rsidR="00715A28">
        <w:rPr>
          <w:sz w:val="28"/>
          <w:szCs w:val="28"/>
        </w:rPr>
        <w:t>4</w:t>
      </w:r>
      <w:r w:rsidR="00763141">
        <w:rPr>
          <w:sz w:val="28"/>
          <w:szCs w:val="28"/>
        </w:rPr>
        <w:t xml:space="preserve"> </w:t>
      </w:r>
      <w:r>
        <w:rPr>
          <w:sz w:val="28"/>
          <w:szCs w:val="28"/>
        </w:rPr>
        <w:t>%)</w:t>
      </w:r>
      <w:r w:rsidR="00763141">
        <w:rPr>
          <w:sz w:val="28"/>
          <w:szCs w:val="28"/>
        </w:rPr>
        <w:t xml:space="preserve"> </w:t>
      </w:r>
      <w:r w:rsidRPr="00C86E22">
        <w:rPr>
          <w:sz w:val="28"/>
          <w:szCs w:val="28"/>
        </w:rPr>
        <w:t>опрошенных</w:t>
      </w:r>
      <w:r>
        <w:rPr>
          <w:sz w:val="28"/>
          <w:szCs w:val="28"/>
        </w:rPr>
        <w:t xml:space="preserve"> затруднились с ответом.</w:t>
      </w:r>
      <w:r w:rsidR="00763141" w:rsidRPr="00763141">
        <w:rPr>
          <w:sz w:val="28"/>
          <w:szCs w:val="28"/>
        </w:rPr>
        <w:t xml:space="preserve"> </w:t>
      </w:r>
    </w:p>
    <w:p w:rsidR="005D4383" w:rsidRPr="005D4383" w:rsidRDefault="007139C5" w:rsidP="005D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4383">
        <w:rPr>
          <w:sz w:val="28"/>
          <w:szCs w:val="28"/>
        </w:rPr>
        <w:t>На рисунке 11</w:t>
      </w:r>
      <w:r w:rsidR="005D4383" w:rsidRPr="005D4383">
        <w:rPr>
          <w:sz w:val="28"/>
          <w:szCs w:val="28"/>
        </w:rPr>
        <w:t xml:space="preserve"> отражено мнение потребителей об изменении уровня цен, качества и возможности выбора организаций, оказывающих данную услугу. </w:t>
      </w:r>
    </w:p>
    <w:p w:rsidR="005D4383" w:rsidRPr="005D4383" w:rsidRDefault="005D4383" w:rsidP="005D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Рисунок 11</w:t>
      </w:r>
      <w:r w:rsidRPr="005D4383">
        <w:rPr>
          <w:sz w:val="28"/>
          <w:szCs w:val="28"/>
        </w:rPr>
        <w:t>.</w:t>
      </w:r>
    </w:p>
    <w:p w:rsidR="007139C5" w:rsidRDefault="005D4383" w:rsidP="007139C5">
      <w:pPr>
        <w:jc w:val="both"/>
        <w:rPr>
          <w:sz w:val="28"/>
          <w:szCs w:val="28"/>
        </w:rPr>
      </w:pPr>
      <w:r w:rsidRPr="005D4383">
        <w:rPr>
          <w:noProof/>
          <w:sz w:val="28"/>
          <w:szCs w:val="28"/>
        </w:rPr>
        <w:drawing>
          <wp:inline distT="0" distB="0" distL="0" distR="0">
            <wp:extent cx="6134100" cy="2590800"/>
            <wp:effectExtent l="0" t="0" r="0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2811" w:rsidRPr="00082D8A" w:rsidRDefault="00F82811" w:rsidP="00F82811">
      <w:pPr>
        <w:ind w:firstLine="644"/>
        <w:jc w:val="both"/>
        <w:rPr>
          <w:sz w:val="28"/>
          <w:szCs w:val="28"/>
        </w:rPr>
      </w:pPr>
      <w:r w:rsidRPr="00082D8A">
        <w:rPr>
          <w:sz w:val="28"/>
          <w:szCs w:val="28"/>
        </w:rPr>
        <w:t>10. Рынок ритуальных услуг.</w:t>
      </w:r>
    </w:p>
    <w:p w:rsidR="00F82811" w:rsidRDefault="00F82811" w:rsidP="00F82811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многих отдаленных населенных пунктах </w:t>
      </w:r>
      <w:r w:rsidR="00E05F1B">
        <w:rPr>
          <w:sz w:val="28"/>
          <w:szCs w:val="28"/>
        </w:rPr>
        <w:t>муниципальног</w:t>
      </w:r>
      <w:r>
        <w:rPr>
          <w:sz w:val="28"/>
          <w:szCs w:val="28"/>
        </w:rPr>
        <w:t xml:space="preserve">о округа  отсутствуют </w:t>
      </w:r>
      <w:r w:rsidR="00473A2D">
        <w:rPr>
          <w:sz w:val="28"/>
          <w:szCs w:val="28"/>
        </w:rPr>
        <w:t>организации</w:t>
      </w:r>
      <w:r>
        <w:rPr>
          <w:sz w:val="28"/>
          <w:szCs w:val="28"/>
        </w:rPr>
        <w:t>, оказывающие риту</w:t>
      </w:r>
      <w:r w:rsidR="00754F08">
        <w:rPr>
          <w:sz w:val="28"/>
          <w:szCs w:val="28"/>
        </w:rPr>
        <w:t xml:space="preserve">альные услуги, тем не </w:t>
      </w:r>
      <w:proofErr w:type="gramStart"/>
      <w:r w:rsidR="00754F08" w:rsidRPr="00082D8A">
        <w:rPr>
          <w:sz w:val="28"/>
          <w:szCs w:val="28"/>
        </w:rPr>
        <w:t>менее</w:t>
      </w:r>
      <w:proofErr w:type="gramEnd"/>
      <w:r w:rsidR="00754F08" w:rsidRPr="00082D8A">
        <w:rPr>
          <w:sz w:val="28"/>
          <w:szCs w:val="28"/>
        </w:rPr>
        <w:t xml:space="preserve"> </w:t>
      </w:r>
      <w:r w:rsidR="00082D8A" w:rsidRPr="00082D8A">
        <w:rPr>
          <w:sz w:val="28"/>
          <w:szCs w:val="28"/>
        </w:rPr>
        <w:t>48,2</w:t>
      </w:r>
      <w:r>
        <w:rPr>
          <w:sz w:val="28"/>
          <w:szCs w:val="28"/>
        </w:rPr>
        <w:t xml:space="preserve"> % (</w:t>
      </w:r>
      <w:r w:rsidR="00754F08">
        <w:rPr>
          <w:sz w:val="28"/>
          <w:szCs w:val="28"/>
        </w:rPr>
        <w:t>в 202</w:t>
      </w:r>
      <w:r w:rsidR="00E05F1B">
        <w:rPr>
          <w:sz w:val="28"/>
          <w:szCs w:val="28"/>
        </w:rPr>
        <w:t>2</w:t>
      </w:r>
      <w:r w:rsidR="007139C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754F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5F1B">
        <w:rPr>
          <w:sz w:val="28"/>
          <w:szCs w:val="28"/>
        </w:rPr>
        <w:t>55,4</w:t>
      </w:r>
      <w:r>
        <w:rPr>
          <w:sz w:val="28"/>
          <w:szCs w:val="28"/>
        </w:rPr>
        <w:t xml:space="preserve"> %) опрошенных указали, что их достаточно, </w:t>
      </w:r>
      <w:r w:rsidR="00082D8A" w:rsidRPr="00082D8A">
        <w:rPr>
          <w:sz w:val="28"/>
          <w:szCs w:val="28"/>
        </w:rPr>
        <w:t>41,5</w:t>
      </w:r>
      <w:r>
        <w:rPr>
          <w:sz w:val="28"/>
          <w:szCs w:val="28"/>
        </w:rPr>
        <w:t xml:space="preserve"> % опрошенных указали на то, что их количество не достаточное или их нет совсем. </w:t>
      </w:r>
    </w:p>
    <w:p w:rsidR="009D3754" w:rsidRDefault="00F82811" w:rsidP="00D5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4F08">
        <w:rPr>
          <w:sz w:val="28"/>
          <w:szCs w:val="28"/>
        </w:rPr>
        <w:t>На рисунке 12 отражено мнение потребителей об изменении уровня цен, качества и возможности выбора организаций, оказывающих данную услугу.</w:t>
      </w:r>
    </w:p>
    <w:p w:rsidR="00F82811" w:rsidRDefault="00F82811" w:rsidP="00F8281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Рисунок 12.</w:t>
      </w:r>
    </w:p>
    <w:p w:rsidR="00A6676B" w:rsidRDefault="00F82811" w:rsidP="00D5175C">
      <w:pPr>
        <w:jc w:val="both"/>
        <w:rPr>
          <w:b/>
          <w:sz w:val="28"/>
          <w:szCs w:val="28"/>
        </w:rPr>
      </w:pPr>
      <w:r w:rsidRPr="00F82811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34100" cy="2628900"/>
            <wp:effectExtent l="0" t="0" r="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6676B" w:rsidRDefault="00473A2D" w:rsidP="00D517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Pr="00082D8A">
        <w:rPr>
          <w:sz w:val="28"/>
          <w:szCs w:val="28"/>
        </w:rPr>
        <w:t>. Рынок теплоснабжения (производство тепловой энергии)</w:t>
      </w:r>
      <w:r w:rsidR="000914A6" w:rsidRPr="00082D8A">
        <w:rPr>
          <w:sz w:val="28"/>
          <w:szCs w:val="28"/>
        </w:rPr>
        <w:t>.</w:t>
      </w:r>
      <w:r w:rsidRPr="00082D8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3FCB" w:rsidRPr="00D90007" w:rsidRDefault="00D90007" w:rsidP="008D3FCB">
      <w:pPr>
        <w:shd w:val="clear" w:color="auto" w:fill="FFFFFF"/>
        <w:ind w:firstLine="709"/>
        <w:jc w:val="both"/>
        <w:rPr>
          <w:sz w:val="28"/>
          <w:szCs w:val="28"/>
        </w:rPr>
      </w:pPr>
      <w:r w:rsidRPr="00D90007">
        <w:rPr>
          <w:sz w:val="28"/>
          <w:szCs w:val="28"/>
        </w:rPr>
        <w:t>47,4</w:t>
      </w:r>
      <w:r w:rsidR="008D3FCB" w:rsidRPr="00D90007">
        <w:rPr>
          <w:sz w:val="28"/>
          <w:szCs w:val="28"/>
        </w:rPr>
        <w:t xml:space="preserve"> % (</w:t>
      </w:r>
      <w:r w:rsidR="00F42CC8" w:rsidRPr="00D90007">
        <w:rPr>
          <w:sz w:val="28"/>
          <w:szCs w:val="28"/>
        </w:rPr>
        <w:t>в</w:t>
      </w:r>
      <w:r w:rsidR="00F42CC8">
        <w:rPr>
          <w:color w:val="000000"/>
          <w:sz w:val="28"/>
          <w:szCs w:val="28"/>
        </w:rPr>
        <w:t xml:space="preserve"> 202</w:t>
      </w:r>
      <w:r w:rsidR="00BE68C9">
        <w:rPr>
          <w:color w:val="000000"/>
          <w:sz w:val="28"/>
          <w:szCs w:val="28"/>
        </w:rPr>
        <w:t>2</w:t>
      </w:r>
      <w:r w:rsidR="007139C5">
        <w:rPr>
          <w:color w:val="000000"/>
          <w:sz w:val="28"/>
          <w:szCs w:val="28"/>
        </w:rPr>
        <w:t xml:space="preserve"> году</w:t>
      </w:r>
      <w:r w:rsidR="008D3FCB">
        <w:rPr>
          <w:color w:val="000000"/>
          <w:sz w:val="28"/>
          <w:szCs w:val="28"/>
        </w:rPr>
        <w:t xml:space="preserve"> </w:t>
      </w:r>
      <w:r w:rsidR="00F42CC8">
        <w:rPr>
          <w:color w:val="000000"/>
          <w:sz w:val="28"/>
          <w:szCs w:val="28"/>
        </w:rPr>
        <w:t>–</w:t>
      </w:r>
      <w:r w:rsidR="008D3FCB">
        <w:rPr>
          <w:color w:val="000000"/>
          <w:sz w:val="28"/>
          <w:szCs w:val="28"/>
        </w:rPr>
        <w:t xml:space="preserve"> </w:t>
      </w:r>
      <w:r w:rsidR="00BE68C9">
        <w:rPr>
          <w:color w:val="000000"/>
          <w:sz w:val="28"/>
          <w:szCs w:val="28"/>
        </w:rPr>
        <w:t>51,0</w:t>
      </w:r>
      <w:r w:rsidR="008D3FCB">
        <w:rPr>
          <w:color w:val="000000"/>
          <w:sz w:val="28"/>
          <w:szCs w:val="28"/>
        </w:rPr>
        <w:t xml:space="preserve"> %) респондентов</w:t>
      </w:r>
      <w:r w:rsidR="008D3FCB" w:rsidRPr="000D7B89">
        <w:rPr>
          <w:color w:val="000000"/>
          <w:sz w:val="28"/>
          <w:szCs w:val="28"/>
        </w:rPr>
        <w:t xml:space="preserve"> считают, что организаций, предоставляющих услуги теплоснабжения</w:t>
      </w:r>
      <w:r w:rsidR="008D3FCB">
        <w:rPr>
          <w:color w:val="000000"/>
          <w:sz w:val="28"/>
          <w:szCs w:val="28"/>
        </w:rPr>
        <w:t xml:space="preserve"> </w:t>
      </w:r>
      <w:r w:rsidR="008D3FCB" w:rsidRPr="000D7B89">
        <w:rPr>
          <w:color w:val="000000"/>
          <w:sz w:val="28"/>
          <w:szCs w:val="28"/>
        </w:rPr>
        <w:t xml:space="preserve">достаточно, </w:t>
      </w:r>
      <w:r w:rsidR="000914A6" w:rsidRPr="00D90007">
        <w:rPr>
          <w:sz w:val="28"/>
          <w:szCs w:val="28"/>
        </w:rPr>
        <w:t xml:space="preserve">при этом </w:t>
      </w:r>
      <w:r w:rsidRPr="00D90007">
        <w:rPr>
          <w:sz w:val="28"/>
          <w:szCs w:val="28"/>
        </w:rPr>
        <w:t>36,8</w:t>
      </w:r>
      <w:r w:rsidR="000914A6" w:rsidRPr="00D90007">
        <w:rPr>
          <w:sz w:val="28"/>
          <w:szCs w:val="28"/>
        </w:rPr>
        <w:t xml:space="preserve"> % (</w:t>
      </w:r>
      <w:r w:rsidR="00F42CC8" w:rsidRPr="00D90007">
        <w:rPr>
          <w:sz w:val="28"/>
          <w:szCs w:val="28"/>
        </w:rPr>
        <w:t>в 202</w:t>
      </w:r>
      <w:r w:rsidR="00BE68C9" w:rsidRPr="00D90007">
        <w:rPr>
          <w:sz w:val="28"/>
          <w:szCs w:val="28"/>
        </w:rPr>
        <w:t>2</w:t>
      </w:r>
      <w:r w:rsidR="007139C5" w:rsidRPr="00D90007">
        <w:rPr>
          <w:sz w:val="28"/>
          <w:szCs w:val="28"/>
        </w:rPr>
        <w:t xml:space="preserve"> году</w:t>
      </w:r>
      <w:r w:rsidR="000914A6" w:rsidRPr="00D90007">
        <w:rPr>
          <w:sz w:val="28"/>
          <w:szCs w:val="28"/>
        </w:rPr>
        <w:t xml:space="preserve"> </w:t>
      </w:r>
      <w:r w:rsidR="00F42CC8" w:rsidRPr="00D90007">
        <w:rPr>
          <w:sz w:val="28"/>
          <w:szCs w:val="28"/>
        </w:rPr>
        <w:t>–</w:t>
      </w:r>
      <w:r w:rsidR="000914A6" w:rsidRPr="00D90007">
        <w:rPr>
          <w:sz w:val="28"/>
          <w:szCs w:val="28"/>
        </w:rPr>
        <w:t xml:space="preserve"> </w:t>
      </w:r>
      <w:r w:rsidR="00BE68C9" w:rsidRPr="00D90007">
        <w:rPr>
          <w:sz w:val="28"/>
          <w:szCs w:val="28"/>
        </w:rPr>
        <w:t>33,2</w:t>
      </w:r>
      <w:r w:rsidR="000914A6" w:rsidRPr="00D90007">
        <w:rPr>
          <w:sz w:val="28"/>
          <w:szCs w:val="28"/>
        </w:rPr>
        <w:t xml:space="preserve"> %) заявили, что их недостаточно</w:t>
      </w:r>
      <w:r w:rsidR="008D3FCB" w:rsidRPr="00D90007">
        <w:rPr>
          <w:sz w:val="28"/>
          <w:szCs w:val="28"/>
        </w:rPr>
        <w:t xml:space="preserve">. </w:t>
      </w:r>
      <w:r w:rsidR="00F42CC8" w:rsidRPr="00D90007">
        <w:rPr>
          <w:sz w:val="28"/>
          <w:szCs w:val="28"/>
        </w:rPr>
        <w:t>15,8</w:t>
      </w:r>
      <w:r w:rsidR="000914A6" w:rsidRPr="00D90007">
        <w:rPr>
          <w:sz w:val="28"/>
          <w:szCs w:val="28"/>
        </w:rPr>
        <w:t xml:space="preserve"> </w:t>
      </w:r>
      <w:r w:rsidR="008D3FCB" w:rsidRPr="00D90007">
        <w:rPr>
          <w:sz w:val="28"/>
          <w:szCs w:val="28"/>
        </w:rPr>
        <w:t>%</w:t>
      </w:r>
      <w:r w:rsidR="000914A6" w:rsidRPr="00D90007">
        <w:rPr>
          <w:sz w:val="28"/>
          <w:szCs w:val="28"/>
        </w:rPr>
        <w:t xml:space="preserve"> (</w:t>
      </w:r>
      <w:r w:rsidR="00F42CC8" w:rsidRPr="00D90007">
        <w:rPr>
          <w:sz w:val="28"/>
          <w:szCs w:val="28"/>
        </w:rPr>
        <w:t>в 202</w:t>
      </w:r>
      <w:r w:rsidR="00BE68C9" w:rsidRPr="00D90007">
        <w:rPr>
          <w:sz w:val="28"/>
          <w:szCs w:val="28"/>
        </w:rPr>
        <w:t>2</w:t>
      </w:r>
      <w:r w:rsidR="007139C5" w:rsidRPr="00D90007">
        <w:rPr>
          <w:sz w:val="28"/>
          <w:szCs w:val="28"/>
        </w:rPr>
        <w:t xml:space="preserve"> году </w:t>
      </w:r>
      <w:r w:rsidR="00F42CC8" w:rsidRPr="00D90007">
        <w:rPr>
          <w:sz w:val="28"/>
          <w:szCs w:val="28"/>
        </w:rPr>
        <w:t>–</w:t>
      </w:r>
      <w:r w:rsidR="000914A6" w:rsidRPr="00D90007">
        <w:rPr>
          <w:sz w:val="28"/>
          <w:szCs w:val="28"/>
        </w:rPr>
        <w:t xml:space="preserve"> </w:t>
      </w:r>
      <w:r w:rsidR="00BE68C9" w:rsidRPr="00D90007">
        <w:rPr>
          <w:sz w:val="28"/>
          <w:szCs w:val="28"/>
        </w:rPr>
        <w:t>15,8</w:t>
      </w:r>
      <w:r w:rsidR="000914A6" w:rsidRPr="00D90007">
        <w:rPr>
          <w:sz w:val="28"/>
          <w:szCs w:val="28"/>
        </w:rPr>
        <w:t xml:space="preserve"> %</w:t>
      </w:r>
      <w:r w:rsidR="008D3FCB" w:rsidRPr="00D90007">
        <w:rPr>
          <w:sz w:val="28"/>
          <w:szCs w:val="28"/>
        </w:rPr>
        <w:t>) респондентов затруднились оценить данный вопрос.</w:t>
      </w:r>
    </w:p>
    <w:p w:rsidR="000914A6" w:rsidRDefault="0095361A" w:rsidP="000914A6">
      <w:pPr>
        <w:shd w:val="clear" w:color="auto" w:fill="FFFFFF"/>
        <w:ind w:firstLine="709"/>
        <w:jc w:val="both"/>
        <w:rPr>
          <w:sz w:val="28"/>
          <w:szCs w:val="28"/>
        </w:rPr>
      </w:pPr>
      <w:r w:rsidRPr="00F42CC8">
        <w:rPr>
          <w:sz w:val="28"/>
          <w:szCs w:val="28"/>
        </w:rPr>
        <w:t>По сравнению с прошлым годом увеличилась доля респонде</w:t>
      </w:r>
      <w:r w:rsidR="00F42CC8" w:rsidRPr="00F42CC8">
        <w:rPr>
          <w:sz w:val="28"/>
          <w:szCs w:val="28"/>
        </w:rPr>
        <w:t xml:space="preserve">нтов </w:t>
      </w:r>
      <w:r w:rsidRPr="00F42CC8">
        <w:rPr>
          <w:sz w:val="28"/>
          <w:szCs w:val="28"/>
        </w:rPr>
        <w:t xml:space="preserve"> удовлетворённых качеством и возможностью выбора на представленном рынке.  </w:t>
      </w:r>
      <w:r w:rsidR="000914A6" w:rsidRPr="00F42CC8">
        <w:rPr>
          <w:sz w:val="28"/>
          <w:szCs w:val="28"/>
        </w:rPr>
        <w:t>На рисунке 13 отражено мнение потребителей об изменении уровня цен, качества и возможности выбора организаций, оказывающих данную услугу.</w:t>
      </w:r>
    </w:p>
    <w:p w:rsidR="000914A6" w:rsidRPr="000914A6" w:rsidRDefault="000914A6" w:rsidP="000914A6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13.</w:t>
      </w:r>
    </w:p>
    <w:p w:rsidR="000914A6" w:rsidRPr="000D7B89" w:rsidRDefault="000914A6" w:rsidP="000914A6">
      <w:pPr>
        <w:shd w:val="clear" w:color="auto" w:fill="FFFFFF"/>
        <w:jc w:val="both"/>
        <w:rPr>
          <w:sz w:val="28"/>
          <w:szCs w:val="28"/>
        </w:rPr>
      </w:pPr>
      <w:r w:rsidRPr="000914A6">
        <w:rPr>
          <w:noProof/>
          <w:sz w:val="28"/>
          <w:szCs w:val="28"/>
        </w:rPr>
        <w:drawing>
          <wp:inline distT="0" distB="0" distL="0" distR="0">
            <wp:extent cx="6134100" cy="2628900"/>
            <wp:effectExtent l="0" t="0" r="0" b="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60A85" w:rsidRPr="00D90007" w:rsidRDefault="00C60A85" w:rsidP="00C60A85">
      <w:pPr>
        <w:pStyle w:val="a7"/>
        <w:ind w:left="0" w:firstLine="644"/>
        <w:jc w:val="both"/>
        <w:rPr>
          <w:sz w:val="28"/>
          <w:szCs w:val="28"/>
        </w:rPr>
      </w:pPr>
      <w:r w:rsidRPr="00D90007">
        <w:rPr>
          <w:sz w:val="28"/>
          <w:szCs w:val="28"/>
        </w:rPr>
        <w:t>12. Рынок услуг по сбору и транспортированию твердых коммунальных отходов.</w:t>
      </w:r>
    </w:p>
    <w:p w:rsidR="00D83B41" w:rsidRPr="0096717F" w:rsidRDefault="00D83B41" w:rsidP="00D83B41">
      <w:pPr>
        <w:ind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B39D4">
        <w:rPr>
          <w:sz w:val="28"/>
          <w:szCs w:val="28"/>
        </w:rPr>
        <w:t xml:space="preserve">ынок услуг </w:t>
      </w:r>
      <w:r w:rsidRPr="00D83B41">
        <w:rPr>
          <w:sz w:val="28"/>
          <w:szCs w:val="28"/>
        </w:rPr>
        <w:t>по сбору и транспортированию твердых коммунальных отходов</w:t>
      </w:r>
      <w:r w:rsidRPr="006B39D4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</w:t>
      </w:r>
      <w:r w:rsidRPr="006B39D4">
        <w:rPr>
          <w:sz w:val="28"/>
          <w:szCs w:val="28"/>
        </w:rPr>
        <w:t xml:space="preserve"> в достаточной мере</w:t>
      </w:r>
      <w:r>
        <w:rPr>
          <w:sz w:val="28"/>
          <w:szCs w:val="28"/>
        </w:rPr>
        <w:t xml:space="preserve"> развитым </w:t>
      </w:r>
      <w:r w:rsidR="00D90007">
        <w:rPr>
          <w:sz w:val="28"/>
          <w:szCs w:val="28"/>
        </w:rPr>
        <w:t>–</w:t>
      </w:r>
      <w:r w:rsidR="0066216E">
        <w:rPr>
          <w:sz w:val="28"/>
          <w:szCs w:val="28"/>
        </w:rPr>
        <w:t xml:space="preserve"> </w:t>
      </w:r>
      <w:r w:rsidR="00D90007" w:rsidRPr="00D90007">
        <w:rPr>
          <w:sz w:val="28"/>
          <w:szCs w:val="28"/>
        </w:rPr>
        <w:t>41,9</w:t>
      </w:r>
      <w:r>
        <w:rPr>
          <w:sz w:val="28"/>
          <w:szCs w:val="28"/>
        </w:rPr>
        <w:t xml:space="preserve"> % (</w:t>
      </w:r>
      <w:r w:rsidR="0066216E">
        <w:rPr>
          <w:sz w:val="28"/>
          <w:szCs w:val="28"/>
        </w:rPr>
        <w:t>в 202</w:t>
      </w:r>
      <w:r w:rsidR="00DC65E1">
        <w:rPr>
          <w:sz w:val="28"/>
          <w:szCs w:val="28"/>
        </w:rPr>
        <w:t>2</w:t>
      </w:r>
      <w:r w:rsidR="007139C5">
        <w:rPr>
          <w:sz w:val="28"/>
          <w:szCs w:val="28"/>
        </w:rPr>
        <w:t xml:space="preserve"> году </w:t>
      </w:r>
      <w:r w:rsidR="006621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65E1">
        <w:rPr>
          <w:sz w:val="28"/>
          <w:szCs w:val="28"/>
        </w:rPr>
        <w:t>54</w:t>
      </w:r>
      <w:r w:rsidRPr="006B39D4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 респондентов, в то же время</w:t>
      </w:r>
      <w:r w:rsidR="00D90007">
        <w:rPr>
          <w:sz w:val="28"/>
          <w:szCs w:val="28"/>
        </w:rPr>
        <w:t xml:space="preserve"> увеличилось количество </w:t>
      </w:r>
      <w:r w:rsidR="00D90007" w:rsidRPr="00D90007">
        <w:rPr>
          <w:sz w:val="28"/>
          <w:szCs w:val="28"/>
        </w:rPr>
        <w:t>опрошенных</w:t>
      </w:r>
      <w:r w:rsidRPr="00D90007">
        <w:rPr>
          <w:sz w:val="28"/>
          <w:szCs w:val="28"/>
        </w:rPr>
        <w:t xml:space="preserve"> </w:t>
      </w:r>
      <w:r w:rsidR="00D90007" w:rsidRPr="00D90007">
        <w:rPr>
          <w:sz w:val="28"/>
          <w:szCs w:val="28"/>
        </w:rPr>
        <w:t>50,6</w:t>
      </w:r>
      <w:r w:rsidRPr="00D90007">
        <w:rPr>
          <w:sz w:val="28"/>
          <w:szCs w:val="28"/>
        </w:rPr>
        <w:t xml:space="preserve"> %</w:t>
      </w:r>
      <w:r w:rsidR="0034615C">
        <w:rPr>
          <w:sz w:val="28"/>
          <w:szCs w:val="28"/>
        </w:rPr>
        <w:t xml:space="preserve"> (</w:t>
      </w:r>
      <w:r w:rsidR="0066216E">
        <w:rPr>
          <w:sz w:val="28"/>
          <w:szCs w:val="28"/>
        </w:rPr>
        <w:t>в 202</w:t>
      </w:r>
      <w:r w:rsidR="00DC65E1">
        <w:rPr>
          <w:sz w:val="28"/>
          <w:szCs w:val="28"/>
        </w:rPr>
        <w:t>2</w:t>
      </w:r>
      <w:r w:rsidR="004E29C4">
        <w:rPr>
          <w:sz w:val="28"/>
          <w:szCs w:val="28"/>
        </w:rPr>
        <w:t xml:space="preserve"> году</w:t>
      </w:r>
      <w:r w:rsidR="0034615C">
        <w:rPr>
          <w:sz w:val="28"/>
          <w:szCs w:val="28"/>
        </w:rPr>
        <w:t xml:space="preserve"> </w:t>
      </w:r>
      <w:r w:rsidR="0066216E">
        <w:rPr>
          <w:sz w:val="28"/>
          <w:szCs w:val="28"/>
        </w:rPr>
        <w:t>–</w:t>
      </w:r>
      <w:r w:rsidR="0034615C">
        <w:rPr>
          <w:sz w:val="28"/>
          <w:szCs w:val="28"/>
        </w:rPr>
        <w:t xml:space="preserve"> </w:t>
      </w:r>
      <w:r w:rsidR="00DC65E1">
        <w:rPr>
          <w:sz w:val="28"/>
          <w:szCs w:val="28"/>
        </w:rPr>
        <w:t>31,9</w:t>
      </w:r>
      <w:r w:rsidR="0034615C">
        <w:rPr>
          <w:sz w:val="28"/>
          <w:szCs w:val="28"/>
        </w:rPr>
        <w:t xml:space="preserve"> %)</w:t>
      </w:r>
      <w:r w:rsidRPr="006B39D4">
        <w:rPr>
          <w:sz w:val="28"/>
          <w:szCs w:val="28"/>
        </w:rPr>
        <w:t xml:space="preserve">, считают, что на рынке присутствует </w:t>
      </w:r>
      <w:r w:rsidR="0034615C">
        <w:rPr>
          <w:sz w:val="28"/>
          <w:szCs w:val="28"/>
        </w:rPr>
        <w:t>мало</w:t>
      </w:r>
      <w:r w:rsidRPr="006B39D4">
        <w:rPr>
          <w:sz w:val="28"/>
          <w:szCs w:val="28"/>
        </w:rPr>
        <w:t xml:space="preserve"> организаций, предоставляющих услуги </w:t>
      </w:r>
      <w:r w:rsidR="0034615C" w:rsidRPr="0034615C">
        <w:rPr>
          <w:sz w:val="28"/>
          <w:szCs w:val="28"/>
        </w:rPr>
        <w:t xml:space="preserve">по сбору и </w:t>
      </w:r>
      <w:r w:rsidR="0034615C" w:rsidRPr="0096717F">
        <w:rPr>
          <w:sz w:val="28"/>
          <w:szCs w:val="28"/>
        </w:rPr>
        <w:t>транспортированию твердых коммунальных отходов</w:t>
      </w:r>
      <w:r w:rsidRPr="0096717F">
        <w:rPr>
          <w:sz w:val="28"/>
          <w:szCs w:val="28"/>
        </w:rPr>
        <w:t xml:space="preserve">. </w:t>
      </w:r>
    </w:p>
    <w:p w:rsidR="00D83B41" w:rsidRDefault="0034615C" w:rsidP="00D83B41">
      <w:pPr>
        <w:ind w:firstLine="646"/>
        <w:contextualSpacing/>
        <w:jc w:val="both"/>
        <w:rPr>
          <w:sz w:val="28"/>
          <w:szCs w:val="28"/>
        </w:rPr>
      </w:pPr>
      <w:r w:rsidRPr="00C73646">
        <w:rPr>
          <w:sz w:val="28"/>
          <w:szCs w:val="28"/>
        </w:rPr>
        <w:t>На рисунке 14</w:t>
      </w:r>
      <w:r w:rsidR="007F7B9C" w:rsidRPr="00C73646">
        <w:rPr>
          <w:sz w:val="28"/>
          <w:szCs w:val="28"/>
        </w:rPr>
        <w:t xml:space="preserve"> отражено как сложило</w:t>
      </w:r>
      <w:r w:rsidR="00D83B41" w:rsidRPr="00C73646">
        <w:rPr>
          <w:sz w:val="28"/>
          <w:szCs w:val="28"/>
        </w:rPr>
        <w:t>сь мнение</w:t>
      </w:r>
      <w:r w:rsidR="00D83B41" w:rsidRPr="0096717F">
        <w:rPr>
          <w:sz w:val="28"/>
          <w:szCs w:val="28"/>
        </w:rPr>
        <w:t xml:space="preserve"> респондентов в отношении к ценообразованию</w:t>
      </w:r>
      <w:r w:rsidR="00D83B41" w:rsidRPr="00CC1FF1">
        <w:rPr>
          <w:sz w:val="28"/>
          <w:szCs w:val="28"/>
        </w:rPr>
        <w:t xml:space="preserve">, качеству и возможности выбора на рынке </w:t>
      </w:r>
      <w:r w:rsidR="00C73646">
        <w:rPr>
          <w:sz w:val="28"/>
          <w:szCs w:val="28"/>
        </w:rPr>
        <w:t xml:space="preserve">услуг по сбору и </w:t>
      </w:r>
      <w:r w:rsidR="00C73646">
        <w:rPr>
          <w:sz w:val="28"/>
          <w:szCs w:val="28"/>
        </w:rPr>
        <w:lastRenderedPageBreak/>
        <w:t>транспортировке твердых коммунальных отходов</w:t>
      </w:r>
      <w:r w:rsidR="00D83B41" w:rsidRPr="00CC1FF1">
        <w:rPr>
          <w:sz w:val="28"/>
          <w:szCs w:val="28"/>
        </w:rPr>
        <w:t xml:space="preserve"> </w:t>
      </w:r>
      <w:r w:rsidR="00D83B41">
        <w:rPr>
          <w:sz w:val="28"/>
          <w:szCs w:val="28"/>
        </w:rPr>
        <w:t>по сравнению</w:t>
      </w:r>
      <w:r w:rsidR="00D83B41" w:rsidRPr="00CC1FF1">
        <w:rPr>
          <w:sz w:val="28"/>
          <w:szCs w:val="28"/>
        </w:rPr>
        <w:t xml:space="preserve"> с прошлым годом в процентном соотношении.</w:t>
      </w:r>
    </w:p>
    <w:p w:rsidR="00A6676B" w:rsidRPr="0034615C" w:rsidRDefault="0034615C" w:rsidP="0034615C">
      <w:pPr>
        <w:jc w:val="right"/>
        <w:rPr>
          <w:sz w:val="28"/>
          <w:szCs w:val="28"/>
        </w:rPr>
      </w:pPr>
      <w:r w:rsidRPr="0034615C">
        <w:rPr>
          <w:sz w:val="28"/>
          <w:szCs w:val="28"/>
        </w:rPr>
        <w:t>Рисунок 14.</w:t>
      </w:r>
    </w:p>
    <w:p w:rsidR="00A6676B" w:rsidRDefault="0034615C" w:rsidP="00D5175C">
      <w:pPr>
        <w:jc w:val="both"/>
        <w:rPr>
          <w:b/>
          <w:sz w:val="28"/>
          <w:szCs w:val="28"/>
        </w:rPr>
      </w:pPr>
      <w:r w:rsidRPr="0034615C">
        <w:rPr>
          <w:b/>
          <w:noProof/>
          <w:sz w:val="28"/>
          <w:szCs w:val="28"/>
        </w:rPr>
        <w:drawing>
          <wp:inline distT="0" distB="0" distL="0" distR="0">
            <wp:extent cx="6134100" cy="2628900"/>
            <wp:effectExtent l="0" t="0" r="0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B301B" w:rsidRDefault="001B301B" w:rsidP="00485403">
      <w:pPr>
        <w:ind w:firstLine="644"/>
        <w:jc w:val="both"/>
        <w:rPr>
          <w:sz w:val="28"/>
          <w:szCs w:val="28"/>
        </w:rPr>
      </w:pPr>
    </w:p>
    <w:p w:rsidR="00485403" w:rsidRPr="00D90007" w:rsidRDefault="00485403" w:rsidP="00485403">
      <w:pPr>
        <w:ind w:firstLine="644"/>
        <w:jc w:val="both"/>
        <w:rPr>
          <w:sz w:val="28"/>
          <w:szCs w:val="28"/>
        </w:rPr>
      </w:pPr>
      <w:r w:rsidRPr="00D90007">
        <w:rPr>
          <w:sz w:val="28"/>
          <w:szCs w:val="28"/>
        </w:rPr>
        <w:t>13.Рынок выполнения работ по благоустройству городской среды.</w:t>
      </w:r>
    </w:p>
    <w:p w:rsidR="00485403" w:rsidRDefault="00485403" w:rsidP="00485403">
      <w:pPr>
        <w:ind w:firstLine="709"/>
        <w:jc w:val="both"/>
        <w:rPr>
          <w:sz w:val="28"/>
          <w:szCs w:val="28"/>
        </w:rPr>
      </w:pPr>
      <w:r w:rsidRPr="00D90007">
        <w:rPr>
          <w:sz w:val="28"/>
          <w:szCs w:val="28"/>
        </w:rPr>
        <w:t>Рынок благоустройс</w:t>
      </w:r>
      <w:r w:rsidR="000C63E5" w:rsidRPr="00D90007">
        <w:rPr>
          <w:sz w:val="28"/>
          <w:szCs w:val="28"/>
        </w:rPr>
        <w:t xml:space="preserve">тва городской </w:t>
      </w:r>
      <w:proofErr w:type="gramStart"/>
      <w:r w:rsidR="000C63E5" w:rsidRPr="00D90007">
        <w:rPr>
          <w:sz w:val="28"/>
          <w:szCs w:val="28"/>
        </w:rPr>
        <w:t>среды</w:t>
      </w:r>
      <w:proofErr w:type="gramEnd"/>
      <w:r w:rsidR="000C63E5" w:rsidRPr="00D90007">
        <w:rPr>
          <w:sz w:val="28"/>
          <w:szCs w:val="28"/>
        </w:rPr>
        <w:t xml:space="preserve"> по мнению </w:t>
      </w:r>
      <w:r w:rsidR="00D90007">
        <w:rPr>
          <w:sz w:val="28"/>
          <w:szCs w:val="28"/>
        </w:rPr>
        <w:t>49,8</w:t>
      </w:r>
      <w:r w:rsidRPr="00D90007">
        <w:rPr>
          <w:sz w:val="28"/>
          <w:szCs w:val="28"/>
        </w:rPr>
        <w:t>% (</w:t>
      </w:r>
      <w:r w:rsidR="000C63E5" w:rsidRPr="00D90007">
        <w:rPr>
          <w:sz w:val="28"/>
          <w:szCs w:val="28"/>
        </w:rPr>
        <w:t>в 202</w:t>
      </w:r>
      <w:r w:rsidR="00B97CA4" w:rsidRPr="00D90007">
        <w:rPr>
          <w:sz w:val="28"/>
          <w:szCs w:val="28"/>
        </w:rPr>
        <w:t>2</w:t>
      </w:r>
      <w:r w:rsidR="004E29C4" w:rsidRPr="00D90007">
        <w:rPr>
          <w:sz w:val="28"/>
          <w:szCs w:val="28"/>
        </w:rPr>
        <w:t xml:space="preserve"> году</w:t>
      </w:r>
      <w:r w:rsidRPr="00D90007">
        <w:rPr>
          <w:sz w:val="28"/>
          <w:szCs w:val="28"/>
        </w:rPr>
        <w:t xml:space="preserve"> </w:t>
      </w:r>
      <w:r w:rsidR="000C63E5" w:rsidRPr="00D90007">
        <w:rPr>
          <w:sz w:val="28"/>
          <w:szCs w:val="28"/>
        </w:rPr>
        <w:t xml:space="preserve">– </w:t>
      </w:r>
      <w:r w:rsidR="00B97CA4" w:rsidRPr="00D90007">
        <w:rPr>
          <w:sz w:val="28"/>
          <w:szCs w:val="28"/>
        </w:rPr>
        <w:t>47</w:t>
      </w:r>
      <w:r w:rsidR="000C63E5">
        <w:rPr>
          <w:sz w:val="28"/>
          <w:szCs w:val="28"/>
        </w:rPr>
        <w:t xml:space="preserve"> </w:t>
      </w:r>
      <w:r>
        <w:rPr>
          <w:sz w:val="28"/>
          <w:szCs w:val="28"/>
        </w:rPr>
        <w:t>%) опрошенных развит мало</w:t>
      </w:r>
      <w:r w:rsidR="00D900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007" w:rsidRPr="00D90007">
        <w:rPr>
          <w:sz w:val="28"/>
          <w:szCs w:val="28"/>
        </w:rPr>
        <w:t>41,1</w:t>
      </w:r>
      <w:r w:rsidRPr="00D90007">
        <w:rPr>
          <w:sz w:val="28"/>
          <w:szCs w:val="28"/>
        </w:rPr>
        <w:t xml:space="preserve"> % (</w:t>
      </w:r>
      <w:r w:rsidR="004E29C4">
        <w:rPr>
          <w:sz w:val="28"/>
          <w:szCs w:val="28"/>
        </w:rPr>
        <w:t>в 202</w:t>
      </w:r>
      <w:r w:rsidR="00B97CA4">
        <w:rPr>
          <w:sz w:val="28"/>
          <w:szCs w:val="28"/>
        </w:rPr>
        <w:t>2</w:t>
      </w:r>
      <w:r w:rsidR="004E29C4">
        <w:rPr>
          <w:sz w:val="28"/>
          <w:szCs w:val="28"/>
        </w:rPr>
        <w:t xml:space="preserve"> году </w:t>
      </w:r>
      <w:r w:rsidR="000C63E5">
        <w:rPr>
          <w:sz w:val="28"/>
          <w:szCs w:val="28"/>
        </w:rPr>
        <w:t xml:space="preserve">– </w:t>
      </w:r>
      <w:r w:rsidR="00B97CA4">
        <w:rPr>
          <w:sz w:val="28"/>
          <w:szCs w:val="28"/>
        </w:rPr>
        <w:t>46</w:t>
      </w:r>
      <w:r>
        <w:rPr>
          <w:sz w:val="28"/>
          <w:szCs w:val="28"/>
        </w:rPr>
        <w:t xml:space="preserve"> %) указывают на то что поставщиков данных видов работ на сегодняшний день достаточно. </w:t>
      </w:r>
    </w:p>
    <w:p w:rsidR="00485403" w:rsidRDefault="00485403" w:rsidP="00485403">
      <w:pPr>
        <w:ind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рисунке 15</w:t>
      </w:r>
      <w:r w:rsidR="007F7B9C">
        <w:rPr>
          <w:sz w:val="28"/>
          <w:szCs w:val="28"/>
        </w:rPr>
        <w:t xml:space="preserve">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 xml:space="preserve">, качеству и возможности выбора на рынке </w:t>
      </w:r>
      <w:r w:rsidRPr="00485403">
        <w:rPr>
          <w:sz w:val="28"/>
          <w:szCs w:val="28"/>
        </w:rPr>
        <w:t>по благоустройству городской среды</w:t>
      </w:r>
      <w:r>
        <w:rPr>
          <w:sz w:val="28"/>
          <w:szCs w:val="28"/>
        </w:rPr>
        <w:t xml:space="preserve"> </w:t>
      </w:r>
      <w:r w:rsidRPr="00CC1FF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</w:t>
      </w:r>
      <w:r w:rsidRPr="00CC1FF1">
        <w:rPr>
          <w:sz w:val="28"/>
          <w:szCs w:val="28"/>
        </w:rPr>
        <w:t xml:space="preserve"> с прошлым годом в процентном соотношении.</w:t>
      </w:r>
    </w:p>
    <w:p w:rsidR="00A6676B" w:rsidRPr="00485403" w:rsidRDefault="00485403" w:rsidP="00485403">
      <w:pPr>
        <w:ind w:firstLine="708"/>
        <w:jc w:val="right"/>
        <w:rPr>
          <w:sz w:val="28"/>
          <w:szCs w:val="28"/>
        </w:rPr>
      </w:pPr>
      <w:r w:rsidRPr="00485403">
        <w:rPr>
          <w:sz w:val="28"/>
          <w:szCs w:val="28"/>
        </w:rPr>
        <w:t>Рисунок 15.</w:t>
      </w:r>
    </w:p>
    <w:p w:rsidR="000914A6" w:rsidRDefault="00485403" w:rsidP="00D5175C">
      <w:pPr>
        <w:jc w:val="both"/>
        <w:rPr>
          <w:b/>
          <w:sz w:val="28"/>
          <w:szCs w:val="28"/>
        </w:rPr>
      </w:pPr>
      <w:r w:rsidRPr="00485403">
        <w:rPr>
          <w:b/>
          <w:noProof/>
          <w:sz w:val="28"/>
          <w:szCs w:val="28"/>
        </w:rPr>
        <w:drawing>
          <wp:inline distT="0" distB="0" distL="0" distR="0">
            <wp:extent cx="6134100" cy="2628900"/>
            <wp:effectExtent l="0" t="0" r="0" b="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43B43" w:rsidRPr="00D90007" w:rsidRDefault="00143B43" w:rsidP="00143B43">
      <w:pPr>
        <w:jc w:val="both"/>
        <w:rPr>
          <w:sz w:val="28"/>
          <w:szCs w:val="28"/>
        </w:rPr>
      </w:pPr>
      <w:r w:rsidRPr="00486486">
        <w:rPr>
          <w:color w:val="FF0000"/>
          <w:sz w:val="28"/>
          <w:szCs w:val="28"/>
        </w:rPr>
        <w:t xml:space="preserve">          </w:t>
      </w:r>
      <w:r w:rsidRPr="00D90007">
        <w:rPr>
          <w:sz w:val="28"/>
          <w:szCs w:val="28"/>
        </w:rPr>
        <w:t>14. Рынок выполнения работ по содержанию и текущему ремонту общего имущества собственников помещений в многоквартирном доме.</w:t>
      </w:r>
    </w:p>
    <w:p w:rsidR="00143B43" w:rsidRPr="00FA2B28" w:rsidRDefault="00143B43" w:rsidP="00143B43">
      <w:pPr>
        <w:jc w:val="both"/>
        <w:rPr>
          <w:sz w:val="28"/>
          <w:szCs w:val="28"/>
        </w:rPr>
      </w:pPr>
      <w:r w:rsidRPr="00D90007">
        <w:rPr>
          <w:sz w:val="28"/>
          <w:szCs w:val="28"/>
        </w:rPr>
        <w:t xml:space="preserve">          Рынок выполнения работ по содержанию и текущему ремонту общего имущества собственников помещений в многоквартирном доме считают в достаточной мере развитым </w:t>
      </w:r>
      <w:r w:rsidR="00C958B0" w:rsidRPr="00D90007">
        <w:rPr>
          <w:sz w:val="28"/>
          <w:szCs w:val="28"/>
        </w:rPr>
        <w:t>–</w:t>
      </w:r>
      <w:r w:rsidR="00830DDE" w:rsidRPr="00D90007">
        <w:rPr>
          <w:sz w:val="28"/>
          <w:szCs w:val="28"/>
        </w:rPr>
        <w:t xml:space="preserve"> </w:t>
      </w:r>
      <w:r w:rsidR="00D90007" w:rsidRPr="00D90007">
        <w:rPr>
          <w:sz w:val="28"/>
          <w:szCs w:val="28"/>
        </w:rPr>
        <w:t>29,2</w:t>
      </w:r>
      <w:r w:rsidRPr="00D90007">
        <w:rPr>
          <w:sz w:val="28"/>
          <w:szCs w:val="28"/>
        </w:rPr>
        <w:t xml:space="preserve"> %</w:t>
      </w:r>
      <w:r w:rsidR="004E29C4" w:rsidRPr="00D90007">
        <w:rPr>
          <w:sz w:val="28"/>
          <w:szCs w:val="28"/>
        </w:rPr>
        <w:t xml:space="preserve"> </w:t>
      </w:r>
      <w:r w:rsidRPr="00D90007">
        <w:rPr>
          <w:sz w:val="28"/>
          <w:szCs w:val="28"/>
        </w:rPr>
        <w:t xml:space="preserve"> (</w:t>
      </w:r>
      <w:r w:rsidR="00C958B0" w:rsidRPr="00D90007">
        <w:rPr>
          <w:sz w:val="28"/>
          <w:szCs w:val="28"/>
        </w:rPr>
        <w:t>в 202</w:t>
      </w:r>
      <w:r w:rsidR="00486486" w:rsidRPr="00D90007">
        <w:rPr>
          <w:sz w:val="28"/>
          <w:szCs w:val="28"/>
        </w:rPr>
        <w:t>2</w:t>
      </w:r>
      <w:r w:rsidR="004E29C4" w:rsidRPr="00D90007">
        <w:rPr>
          <w:sz w:val="28"/>
          <w:szCs w:val="28"/>
        </w:rPr>
        <w:t xml:space="preserve"> году </w:t>
      </w:r>
      <w:r w:rsidR="00C958B0" w:rsidRPr="00D90007">
        <w:rPr>
          <w:sz w:val="28"/>
          <w:szCs w:val="28"/>
        </w:rPr>
        <w:t xml:space="preserve">– </w:t>
      </w:r>
      <w:r w:rsidR="00486486" w:rsidRPr="00D90007">
        <w:rPr>
          <w:sz w:val="28"/>
          <w:szCs w:val="28"/>
        </w:rPr>
        <w:t>30,2</w:t>
      </w:r>
      <w:r w:rsidRPr="00D90007">
        <w:rPr>
          <w:sz w:val="28"/>
          <w:szCs w:val="28"/>
        </w:rPr>
        <w:t xml:space="preserve">%)  респондентов, </w:t>
      </w:r>
      <w:r w:rsidR="00C958B0" w:rsidRPr="00D90007">
        <w:rPr>
          <w:sz w:val="28"/>
          <w:szCs w:val="28"/>
        </w:rPr>
        <w:t>при этом</w:t>
      </w:r>
      <w:r w:rsidRPr="00D90007">
        <w:rPr>
          <w:sz w:val="28"/>
          <w:szCs w:val="28"/>
        </w:rPr>
        <w:t xml:space="preserve"> </w:t>
      </w:r>
      <w:r w:rsidR="00D90007" w:rsidRPr="00D90007">
        <w:rPr>
          <w:sz w:val="28"/>
          <w:szCs w:val="28"/>
        </w:rPr>
        <w:t>58,9</w:t>
      </w:r>
      <w:r w:rsidRPr="00D90007">
        <w:rPr>
          <w:sz w:val="28"/>
          <w:szCs w:val="28"/>
        </w:rPr>
        <w:t xml:space="preserve"> % (</w:t>
      </w:r>
      <w:r w:rsidR="00C958B0" w:rsidRPr="00D90007">
        <w:rPr>
          <w:sz w:val="28"/>
          <w:szCs w:val="28"/>
        </w:rPr>
        <w:t>в 202</w:t>
      </w:r>
      <w:r w:rsidR="00486486" w:rsidRPr="00D90007">
        <w:rPr>
          <w:sz w:val="28"/>
          <w:szCs w:val="28"/>
        </w:rPr>
        <w:t>2</w:t>
      </w:r>
      <w:r w:rsidR="004E29C4" w:rsidRPr="00D90007">
        <w:rPr>
          <w:sz w:val="28"/>
          <w:szCs w:val="28"/>
        </w:rPr>
        <w:t xml:space="preserve"> году</w:t>
      </w:r>
      <w:r w:rsidRPr="00D90007">
        <w:rPr>
          <w:sz w:val="28"/>
          <w:szCs w:val="28"/>
        </w:rPr>
        <w:t xml:space="preserve"> </w:t>
      </w:r>
      <w:r w:rsidR="00C958B0" w:rsidRPr="00D90007">
        <w:rPr>
          <w:sz w:val="28"/>
          <w:szCs w:val="28"/>
        </w:rPr>
        <w:t>–</w:t>
      </w:r>
      <w:r w:rsidRPr="00D90007">
        <w:rPr>
          <w:sz w:val="28"/>
          <w:szCs w:val="28"/>
        </w:rPr>
        <w:t xml:space="preserve"> </w:t>
      </w:r>
      <w:r w:rsidR="00486486" w:rsidRPr="00D90007">
        <w:rPr>
          <w:sz w:val="28"/>
          <w:szCs w:val="28"/>
        </w:rPr>
        <w:t>59,9</w:t>
      </w:r>
      <w:r w:rsidRPr="00D90007">
        <w:rPr>
          <w:sz w:val="28"/>
          <w:szCs w:val="28"/>
        </w:rPr>
        <w:t xml:space="preserve"> %), считают, что на рынке присутствует мало организаций, предоставляющих услуги по</w:t>
      </w:r>
      <w:r>
        <w:rPr>
          <w:sz w:val="28"/>
          <w:szCs w:val="28"/>
        </w:rPr>
        <w:t xml:space="preserve"> данному рынку.</w:t>
      </w:r>
    </w:p>
    <w:p w:rsidR="00143B43" w:rsidRDefault="00143B43" w:rsidP="00143B43">
      <w:pPr>
        <w:ind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рисунке 16 </w:t>
      </w:r>
      <w:r w:rsidR="007F7B9C">
        <w:rPr>
          <w:sz w:val="28"/>
          <w:szCs w:val="28"/>
        </w:rPr>
        <w:t>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 xml:space="preserve">, качеству и возможности выбора на рынке </w:t>
      </w:r>
      <w:r w:rsidR="00363117">
        <w:rPr>
          <w:sz w:val="28"/>
          <w:szCs w:val="28"/>
        </w:rPr>
        <w:t>выполнения работ по содержанию и текущему ремонту в многоквартирном доме</w:t>
      </w:r>
      <w:r>
        <w:rPr>
          <w:sz w:val="28"/>
          <w:szCs w:val="28"/>
        </w:rPr>
        <w:t xml:space="preserve"> </w:t>
      </w:r>
      <w:r w:rsidRPr="00CC1FF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</w:t>
      </w:r>
      <w:r w:rsidRPr="00CC1FF1">
        <w:rPr>
          <w:sz w:val="28"/>
          <w:szCs w:val="28"/>
        </w:rPr>
        <w:t xml:space="preserve"> с прошлым годом в процентном соотношении.</w:t>
      </w:r>
    </w:p>
    <w:p w:rsidR="00143B43" w:rsidRDefault="00746C01" w:rsidP="00143B43">
      <w:pPr>
        <w:ind w:firstLine="64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Рисунок 16.</w:t>
      </w:r>
    </w:p>
    <w:p w:rsidR="000914A6" w:rsidRDefault="00746C01" w:rsidP="00D5175C">
      <w:pPr>
        <w:jc w:val="both"/>
        <w:rPr>
          <w:b/>
          <w:sz w:val="28"/>
          <w:szCs w:val="28"/>
        </w:rPr>
      </w:pPr>
      <w:r w:rsidRPr="00746C01">
        <w:rPr>
          <w:b/>
          <w:noProof/>
          <w:sz w:val="28"/>
          <w:szCs w:val="28"/>
        </w:rPr>
        <w:drawing>
          <wp:inline distT="0" distB="0" distL="0" distR="0">
            <wp:extent cx="6134100" cy="2628900"/>
            <wp:effectExtent l="0" t="0" r="0" b="0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B301B" w:rsidRPr="00D90007" w:rsidRDefault="001B301B" w:rsidP="001B301B">
      <w:pPr>
        <w:pStyle w:val="a7"/>
        <w:ind w:left="709"/>
        <w:jc w:val="both"/>
        <w:rPr>
          <w:sz w:val="28"/>
          <w:szCs w:val="28"/>
        </w:rPr>
      </w:pPr>
      <w:r w:rsidRPr="00D90007">
        <w:rPr>
          <w:sz w:val="28"/>
          <w:szCs w:val="28"/>
        </w:rPr>
        <w:t>15. Рынок поставки сжиженного газа в баллонах.</w:t>
      </w:r>
    </w:p>
    <w:p w:rsidR="001B301B" w:rsidRPr="00D90007" w:rsidRDefault="001B301B" w:rsidP="001B301B">
      <w:pPr>
        <w:pStyle w:val="a7"/>
        <w:ind w:left="0" w:firstLine="709"/>
        <w:jc w:val="both"/>
        <w:rPr>
          <w:sz w:val="28"/>
          <w:szCs w:val="28"/>
        </w:rPr>
      </w:pPr>
      <w:r w:rsidRPr="001B301B">
        <w:rPr>
          <w:sz w:val="28"/>
          <w:szCs w:val="28"/>
        </w:rPr>
        <w:t xml:space="preserve">В ходе анкетирования выявлено, что </w:t>
      </w:r>
      <w:r w:rsidR="00D90007" w:rsidRPr="00D90007">
        <w:rPr>
          <w:sz w:val="28"/>
          <w:szCs w:val="28"/>
        </w:rPr>
        <w:t>23,7</w:t>
      </w:r>
      <w:r w:rsidRPr="001B301B">
        <w:rPr>
          <w:sz w:val="28"/>
          <w:szCs w:val="28"/>
        </w:rPr>
        <w:t xml:space="preserve"> % опрошенных считают рынок поставки сжиженного газа в балл</w:t>
      </w:r>
      <w:r w:rsidR="006E279C">
        <w:rPr>
          <w:sz w:val="28"/>
          <w:szCs w:val="28"/>
        </w:rPr>
        <w:t>онах достаточно развитым (в 202</w:t>
      </w:r>
      <w:r w:rsidR="002F669C">
        <w:rPr>
          <w:sz w:val="28"/>
          <w:szCs w:val="28"/>
        </w:rPr>
        <w:t>2</w:t>
      </w:r>
      <w:r w:rsidRPr="001B301B">
        <w:rPr>
          <w:sz w:val="28"/>
          <w:szCs w:val="28"/>
        </w:rPr>
        <w:t xml:space="preserve"> году</w:t>
      </w:r>
      <w:r w:rsidR="004E29C4">
        <w:rPr>
          <w:sz w:val="28"/>
          <w:szCs w:val="28"/>
        </w:rPr>
        <w:t xml:space="preserve"> </w:t>
      </w:r>
      <w:r w:rsidR="006E279C">
        <w:rPr>
          <w:sz w:val="28"/>
          <w:szCs w:val="28"/>
        </w:rPr>
        <w:t>–</w:t>
      </w:r>
      <w:r w:rsidRPr="001B301B">
        <w:rPr>
          <w:sz w:val="28"/>
          <w:szCs w:val="28"/>
        </w:rPr>
        <w:t xml:space="preserve"> </w:t>
      </w:r>
      <w:r w:rsidR="006E279C">
        <w:rPr>
          <w:sz w:val="28"/>
          <w:szCs w:val="28"/>
        </w:rPr>
        <w:t>2</w:t>
      </w:r>
      <w:r w:rsidR="002F669C">
        <w:rPr>
          <w:sz w:val="28"/>
          <w:szCs w:val="28"/>
        </w:rPr>
        <w:t>7</w:t>
      </w:r>
      <w:r w:rsidR="006E279C">
        <w:rPr>
          <w:sz w:val="28"/>
          <w:szCs w:val="28"/>
        </w:rPr>
        <w:t>,</w:t>
      </w:r>
      <w:r w:rsidR="002F669C">
        <w:rPr>
          <w:sz w:val="28"/>
          <w:szCs w:val="28"/>
        </w:rPr>
        <w:t>7</w:t>
      </w:r>
      <w:r w:rsidRPr="001B301B">
        <w:rPr>
          <w:sz w:val="28"/>
          <w:szCs w:val="28"/>
        </w:rPr>
        <w:t xml:space="preserve"> %), </w:t>
      </w:r>
      <w:r w:rsidR="00D90007" w:rsidRPr="00D90007">
        <w:rPr>
          <w:sz w:val="28"/>
          <w:szCs w:val="28"/>
        </w:rPr>
        <w:t>62,8</w:t>
      </w:r>
      <w:r w:rsidRPr="00D90007">
        <w:rPr>
          <w:sz w:val="28"/>
          <w:szCs w:val="28"/>
        </w:rPr>
        <w:t xml:space="preserve"> % </w:t>
      </w:r>
      <w:proofErr w:type="gramStart"/>
      <w:r w:rsidRPr="00D90007">
        <w:rPr>
          <w:sz w:val="28"/>
          <w:szCs w:val="28"/>
        </w:rPr>
        <w:t>считают</w:t>
      </w:r>
      <w:proofErr w:type="gramEnd"/>
      <w:r w:rsidRPr="001B301B">
        <w:rPr>
          <w:sz w:val="28"/>
          <w:szCs w:val="28"/>
        </w:rPr>
        <w:t xml:space="preserve"> что д</w:t>
      </w:r>
      <w:r w:rsidR="006E279C">
        <w:rPr>
          <w:sz w:val="28"/>
          <w:szCs w:val="28"/>
        </w:rPr>
        <w:t>анный рынок  мало развит (в 202</w:t>
      </w:r>
      <w:r w:rsidR="002F669C">
        <w:rPr>
          <w:sz w:val="28"/>
          <w:szCs w:val="28"/>
        </w:rPr>
        <w:t>2</w:t>
      </w:r>
      <w:r w:rsidRPr="001B301B">
        <w:rPr>
          <w:sz w:val="28"/>
          <w:szCs w:val="28"/>
        </w:rPr>
        <w:t xml:space="preserve"> году </w:t>
      </w:r>
      <w:r w:rsidR="006E279C">
        <w:rPr>
          <w:sz w:val="28"/>
          <w:szCs w:val="28"/>
        </w:rPr>
        <w:t>–</w:t>
      </w:r>
      <w:r w:rsidRPr="001B301B">
        <w:rPr>
          <w:sz w:val="28"/>
          <w:szCs w:val="28"/>
        </w:rPr>
        <w:t xml:space="preserve"> </w:t>
      </w:r>
      <w:r w:rsidR="002F669C">
        <w:rPr>
          <w:sz w:val="28"/>
          <w:szCs w:val="28"/>
        </w:rPr>
        <w:t>59,4</w:t>
      </w:r>
      <w:r w:rsidRPr="001B301B">
        <w:rPr>
          <w:sz w:val="28"/>
          <w:szCs w:val="28"/>
        </w:rPr>
        <w:t xml:space="preserve"> %) </w:t>
      </w:r>
      <w:r w:rsidRPr="00D90007">
        <w:rPr>
          <w:sz w:val="28"/>
          <w:szCs w:val="28"/>
        </w:rPr>
        <w:t xml:space="preserve">и </w:t>
      </w:r>
      <w:r w:rsidR="00D90007" w:rsidRPr="00D90007">
        <w:rPr>
          <w:sz w:val="28"/>
          <w:szCs w:val="28"/>
        </w:rPr>
        <w:t>13,1</w:t>
      </w:r>
      <w:r w:rsidRPr="00D90007">
        <w:rPr>
          <w:sz w:val="28"/>
          <w:szCs w:val="28"/>
        </w:rPr>
        <w:t xml:space="preserve"> % опрошенных затруднились с ответом </w:t>
      </w:r>
      <w:r w:rsidR="006E279C" w:rsidRPr="00D90007">
        <w:rPr>
          <w:sz w:val="28"/>
          <w:szCs w:val="28"/>
        </w:rPr>
        <w:t>(в 202</w:t>
      </w:r>
      <w:r w:rsidR="002F669C" w:rsidRPr="00D90007">
        <w:rPr>
          <w:sz w:val="28"/>
          <w:szCs w:val="28"/>
        </w:rPr>
        <w:t>2</w:t>
      </w:r>
      <w:r w:rsidRPr="00D90007">
        <w:rPr>
          <w:sz w:val="28"/>
          <w:szCs w:val="28"/>
        </w:rPr>
        <w:t xml:space="preserve"> году- </w:t>
      </w:r>
      <w:r w:rsidR="002F669C" w:rsidRPr="00D90007">
        <w:rPr>
          <w:sz w:val="28"/>
          <w:szCs w:val="28"/>
        </w:rPr>
        <w:t>12,9</w:t>
      </w:r>
      <w:r w:rsidRPr="00D90007">
        <w:rPr>
          <w:sz w:val="28"/>
          <w:szCs w:val="28"/>
        </w:rPr>
        <w:t xml:space="preserve"> %).</w:t>
      </w:r>
    </w:p>
    <w:p w:rsidR="001B301B" w:rsidRDefault="001B301B" w:rsidP="001B301B">
      <w:pPr>
        <w:ind w:firstLine="646"/>
        <w:contextualSpacing/>
        <w:jc w:val="both"/>
        <w:rPr>
          <w:sz w:val="28"/>
          <w:szCs w:val="28"/>
        </w:rPr>
      </w:pPr>
      <w:r w:rsidRPr="00A57BE2">
        <w:rPr>
          <w:sz w:val="28"/>
          <w:szCs w:val="28"/>
        </w:rPr>
        <w:t xml:space="preserve">На рисунке 17 </w:t>
      </w:r>
      <w:r w:rsidR="007F7B9C" w:rsidRPr="00A57BE2">
        <w:rPr>
          <w:sz w:val="28"/>
          <w:szCs w:val="28"/>
        </w:rPr>
        <w:t>отражено как сложило</w:t>
      </w:r>
      <w:r w:rsidRPr="00A57BE2">
        <w:rPr>
          <w:sz w:val="28"/>
          <w:szCs w:val="28"/>
        </w:rPr>
        <w:t>сь мнение респондентов в отношении к ценообразованию, качеству и возможности выбора на рынке поставки сжиженного газа в баллонах  по сравнению с прошлым годом в процентном соотношении.</w:t>
      </w:r>
    </w:p>
    <w:p w:rsidR="007F7B9C" w:rsidRDefault="007F7B9C" w:rsidP="001B301B">
      <w:pPr>
        <w:ind w:firstLine="646"/>
        <w:contextualSpacing/>
        <w:jc w:val="both"/>
        <w:rPr>
          <w:sz w:val="28"/>
          <w:szCs w:val="28"/>
        </w:rPr>
      </w:pPr>
    </w:p>
    <w:p w:rsidR="001B301B" w:rsidRDefault="001B301B" w:rsidP="001B301B">
      <w:pPr>
        <w:ind w:firstLine="64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Рисунок 17.</w:t>
      </w:r>
    </w:p>
    <w:p w:rsidR="007F7B9C" w:rsidRDefault="007F7B9C" w:rsidP="001B301B">
      <w:pPr>
        <w:ind w:firstLine="646"/>
        <w:contextualSpacing/>
        <w:jc w:val="right"/>
        <w:rPr>
          <w:sz w:val="28"/>
          <w:szCs w:val="28"/>
        </w:rPr>
      </w:pPr>
    </w:p>
    <w:p w:rsidR="000914A6" w:rsidRDefault="001B301B" w:rsidP="00D5175C">
      <w:pPr>
        <w:jc w:val="both"/>
        <w:rPr>
          <w:b/>
          <w:sz w:val="28"/>
          <w:szCs w:val="28"/>
        </w:rPr>
      </w:pPr>
      <w:r w:rsidRPr="001B301B">
        <w:rPr>
          <w:b/>
          <w:noProof/>
          <w:sz w:val="28"/>
          <w:szCs w:val="28"/>
        </w:rPr>
        <w:drawing>
          <wp:inline distT="0" distB="0" distL="0" distR="0">
            <wp:extent cx="6134100" cy="2628900"/>
            <wp:effectExtent l="0" t="0" r="0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F7B9C" w:rsidRDefault="00707A59" w:rsidP="00707A5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07A59" w:rsidRPr="007960B2" w:rsidRDefault="007F7B9C" w:rsidP="00707A59">
      <w:pPr>
        <w:pStyle w:val="a7"/>
        <w:ind w:left="0"/>
        <w:jc w:val="both"/>
        <w:rPr>
          <w:sz w:val="28"/>
          <w:szCs w:val="28"/>
        </w:rPr>
      </w:pPr>
      <w:r w:rsidRPr="00411D17">
        <w:rPr>
          <w:color w:val="FF0000"/>
          <w:sz w:val="28"/>
          <w:szCs w:val="28"/>
        </w:rPr>
        <w:t xml:space="preserve">         </w:t>
      </w:r>
      <w:r w:rsidR="00707A59" w:rsidRPr="007960B2">
        <w:rPr>
          <w:sz w:val="28"/>
          <w:szCs w:val="28"/>
        </w:rPr>
        <w:t>16. Рынок купли-продажи электрической энергии (мощности) на розничном рынке электрической энергии (мощности).</w:t>
      </w:r>
    </w:p>
    <w:p w:rsidR="00707A59" w:rsidRPr="00FA2B28" w:rsidRDefault="00707A59" w:rsidP="00707A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143B43">
        <w:rPr>
          <w:sz w:val="28"/>
          <w:szCs w:val="28"/>
        </w:rPr>
        <w:t xml:space="preserve">Рынок  </w:t>
      </w:r>
      <w:r w:rsidRPr="00707A59">
        <w:rPr>
          <w:sz w:val="28"/>
          <w:szCs w:val="28"/>
        </w:rPr>
        <w:t>купли-продажи электрической энергии (мощности) на розничном рынке электрической энергии (мощности)</w:t>
      </w:r>
      <w:r w:rsidRPr="00143B43">
        <w:rPr>
          <w:sz w:val="28"/>
          <w:szCs w:val="28"/>
        </w:rPr>
        <w:t xml:space="preserve"> считают в </w:t>
      </w:r>
      <w:r w:rsidRPr="00D90007">
        <w:rPr>
          <w:sz w:val="28"/>
          <w:szCs w:val="28"/>
        </w:rPr>
        <w:t xml:space="preserve">достаточной мере развитым </w:t>
      </w:r>
      <w:r w:rsidR="00A57BE2" w:rsidRPr="00D90007">
        <w:rPr>
          <w:sz w:val="28"/>
          <w:szCs w:val="28"/>
        </w:rPr>
        <w:t>–</w:t>
      </w:r>
      <w:r w:rsidRPr="00D90007">
        <w:rPr>
          <w:sz w:val="28"/>
          <w:szCs w:val="28"/>
        </w:rPr>
        <w:t xml:space="preserve"> </w:t>
      </w:r>
      <w:r w:rsidR="00A57BE2" w:rsidRPr="00D90007">
        <w:rPr>
          <w:sz w:val="28"/>
          <w:szCs w:val="28"/>
        </w:rPr>
        <w:t>41,</w:t>
      </w:r>
      <w:r w:rsidR="007960B2" w:rsidRPr="00D90007">
        <w:rPr>
          <w:sz w:val="28"/>
          <w:szCs w:val="28"/>
        </w:rPr>
        <w:t>5</w:t>
      </w:r>
      <w:r w:rsidRPr="00D90007">
        <w:rPr>
          <w:sz w:val="28"/>
          <w:szCs w:val="28"/>
        </w:rPr>
        <w:t xml:space="preserve"> % (</w:t>
      </w:r>
      <w:r w:rsidR="00A57BE2" w:rsidRPr="00D90007">
        <w:rPr>
          <w:sz w:val="28"/>
          <w:szCs w:val="28"/>
        </w:rPr>
        <w:t>в 202</w:t>
      </w:r>
      <w:r w:rsidR="00411D17" w:rsidRPr="00D90007">
        <w:rPr>
          <w:sz w:val="28"/>
          <w:szCs w:val="28"/>
        </w:rPr>
        <w:t>2</w:t>
      </w:r>
      <w:r w:rsidR="00931B31" w:rsidRPr="00D90007">
        <w:rPr>
          <w:sz w:val="28"/>
          <w:szCs w:val="28"/>
        </w:rPr>
        <w:t xml:space="preserve"> году </w:t>
      </w:r>
      <w:r w:rsidR="00A57BE2" w:rsidRPr="00D90007">
        <w:rPr>
          <w:sz w:val="28"/>
          <w:szCs w:val="28"/>
        </w:rPr>
        <w:t>–</w:t>
      </w:r>
      <w:r w:rsidRPr="00D90007">
        <w:rPr>
          <w:sz w:val="28"/>
          <w:szCs w:val="28"/>
        </w:rPr>
        <w:t xml:space="preserve"> </w:t>
      </w:r>
      <w:r w:rsidR="00A57BE2" w:rsidRPr="00D90007">
        <w:rPr>
          <w:sz w:val="28"/>
          <w:szCs w:val="28"/>
        </w:rPr>
        <w:t>4</w:t>
      </w:r>
      <w:r w:rsidR="00411D17" w:rsidRPr="00D90007">
        <w:rPr>
          <w:sz w:val="28"/>
          <w:szCs w:val="28"/>
        </w:rPr>
        <w:t>1,1</w:t>
      </w:r>
      <w:r w:rsidRPr="00D90007">
        <w:rPr>
          <w:sz w:val="28"/>
          <w:szCs w:val="28"/>
        </w:rPr>
        <w:t xml:space="preserve"> %)  респондентов, </w:t>
      </w:r>
      <w:r w:rsidR="00A57BE2" w:rsidRPr="00D90007">
        <w:rPr>
          <w:sz w:val="28"/>
          <w:szCs w:val="28"/>
        </w:rPr>
        <w:t xml:space="preserve">в то же время </w:t>
      </w:r>
      <w:r w:rsidR="00D90007" w:rsidRPr="00D90007">
        <w:rPr>
          <w:sz w:val="28"/>
          <w:szCs w:val="28"/>
        </w:rPr>
        <w:t>44,7</w:t>
      </w:r>
      <w:r w:rsidRPr="00143B43">
        <w:rPr>
          <w:sz w:val="28"/>
          <w:szCs w:val="28"/>
        </w:rPr>
        <w:t xml:space="preserve"> % (</w:t>
      </w:r>
      <w:r w:rsidR="00931B31">
        <w:rPr>
          <w:sz w:val="28"/>
          <w:szCs w:val="28"/>
        </w:rPr>
        <w:t>в 202</w:t>
      </w:r>
      <w:r w:rsidR="00411D17">
        <w:rPr>
          <w:sz w:val="28"/>
          <w:szCs w:val="28"/>
        </w:rPr>
        <w:t>2</w:t>
      </w:r>
      <w:r w:rsidR="00931B31">
        <w:rPr>
          <w:sz w:val="28"/>
          <w:szCs w:val="28"/>
        </w:rPr>
        <w:t xml:space="preserve"> году</w:t>
      </w:r>
      <w:r w:rsidRPr="00143B43">
        <w:rPr>
          <w:sz w:val="28"/>
          <w:szCs w:val="28"/>
        </w:rPr>
        <w:t xml:space="preserve"> </w:t>
      </w:r>
      <w:r w:rsidR="00A57BE2">
        <w:rPr>
          <w:sz w:val="28"/>
          <w:szCs w:val="28"/>
        </w:rPr>
        <w:t>–</w:t>
      </w:r>
      <w:r w:rsidRPr="00143B43">
        <w:rPr>
          <w:sz w:val="28"/>
          <w:szCs w:val="28"/>
        </w:rPr>
        <w:t xml:space="preserve"> </w:t>
      </w:r>
      <w:r w:rsidR="00411D17">
        <w:rPr>
          <w:sz w:val="28"/>
          <w:szCs w:val="28"/>
        </w:rPr>
        <w:t>45,1</w:t>
      </w:r>
      <w:r w:rsidRPr="00143B43">
        <w:rPr>
          <w:sz w:val="28"/>
          <w:szCs w:val="28"/>
        </w:rPr>
        <w:t xml:space="preserve"> %), считают, что на рынке присутствует мало организаций</w:t>
      </w:r>
      <w:r w:rsidR="007F7B9C">
        <w:rPr>
          <w:sz w:val="28"/>
          <w:szCs w:val="28"/>
        </w:rPr>
        <w:t xml:space="preserve"> или же они отсутствуют вовсе</w:t>
      </w:r>
      <w:r w:rsidRPr="00143B43">
        <w:rPr>
          <w:sz w:val="28"/>
          <w:szCs w:val="28"/>
        </w:rPr>
        <w:t xml:space="preserve">, предоставляющих услуги </w:t>
      </w:r>
      <w:r>
        <w:rPr>
          <w:sz w:val="28"/>
          <w:szCs w:val="28"/>
        </w:rPr>
        <w:t>по данному рынку.</w:t>
      </w:r>
    </w:p>
    <w:p w:rsidR="007F7B9C" w:rsidRDefault="00707A59" w:rsidP="004E29C4">
      <w:pPr>
        <w:ind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B9C">
        <w:rPr>
          <w:sz w:val="28"/>
          <w:szCs w:val="28"/>
        </w:rPr>
        <w:t>На рисунке 18</w:t>
      </w:r>
      <w:r>
        <w:rPr>
          <w:sz w:val="28"/>
          <w:szCs w:val="28"/>
        </w:rPr>
        <w:t xml:space="preserve"> </w:t>
      </w:r>
      <w:r w:rsidR="007F7B9C">
        <w:rPr>
          <w:sz w:val="28"/>
          <w:szCs w:val="28"/>
        </w:rPr>
        <w:t>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 xml:space="preserve">, качеству и возможности выбора на рынке </w:t>
      </w:r>
      <w:r w:rsidRPr="00707A59">
        <w:rPr>
          <w:sz w:val="28"/>
          <w:szCs w:val="28"/>
        </w:rPr>
        <w:t>купли-продажи электрической энергии (мощности) на розничном рынке электрической энергии (мощности)</w:t>
      </w:r>
      <w:r>
        <w:rPr>
          <w:sz w:val="28"/>
          <w:szCs w:val="28"/>
        </w:rPr>
        <w:t xml:space="preserve"> </w:t>
      </w:r>
      <w:r w:rsidRPr="00CC1FF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</w:t>
      </w:r>
      <w:r w:rsidRPr="00CC1FF1">
        <w:rPr>
          <w:sz w:val="28"/>
          <w:szCs w:val="28"/>
        </w:rPr>
        <w:t xml:space="preserve"> с прошлым годом в процентном соотношении.</w:t>
      </w:r>
    </w:p>
    <w:p w:rsidR="007F7B9C" w:rsidRDefault="007F7B9C" w:rsidP="007F7B9C">
      <w:pPr>
        <w:ind w:firstLine="64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Рисунок 18.</w:t>
      </w:r>
    </w:p>
    <w:p w:rsidR="000914A6" w:rsidRDefault="007F7B9C" w:rsidP="00D5175C">
      <w:pPr>
        <w:jc w:val="both"/>
        <w:rPr>
          <w:b/>
          <w:sz w:val="28"/>
          <w:szCs w:val="28"/>
        </w:rPr>
      </w:pPr>
      <w:r w:rsidRPr="007F7B9C">
        <w:rPr>
          <w:b/>
          <w:noProof/>
          <w:sz w:val="28"/>
          <w:szCs w:val="28"/>
        </w:rPr>
        <w:drawing>
          <wp:inline distT="0" distB="0" distL="0" distR="0">
            <wp:extent cx="6134100" cy="2295525"/>
            <wp:effectExtent l="0" t="0" r="0" b="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914A6" w:rsidRPr="007960B2" w:rsidRDefault="00514889" w:rsidP="00D517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960B2">
        <w:rPr>
          <w:sz w:val="28"/>
          <w:szCs w:val="28"/>
        </w:rPr>
        <w:t xml:space="preserve">17.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7960B2">
        <w:rPr>
          <w:sz w:val="28"/>
          <w:szCs w:val="28"/>
        </w:rPr>
        <w:t>когенерации</w:t>
      </w:r>
      <w:proofErr w:type="spellEnd"/>
      <w:r w:rsidRPr="007960B2">
        <w:rPr>
          <w:sz w:val="28"/>
          <w:szCs w:val="28"/>
        </w:rPr>
        <w:t>.</w:t>
      </w:r>
    </w:p>
    <w:p w:rsidR="00BE672B" w:rsidRPr="00FA2B28" w:rsidRDefault="00341B6C" w:rsidP="00BE6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672B" w:rsidRPr="00143B43">
        <w:rPr>
          <w:sz w:val="28"/>
          <w:szCs w:val="28"/>
        </w:rPr>
        <w:t xml:space="preserve">Рынок  </w:t>
      </w:r>
      <w:r w:rsidR="00BE672B" w:rsidRPr="00BE672B">
        <w:rPr>
          <w:sz w:val="28"/>
          <w:szCs w:val="28"/>
        </w:rPr>
        <w:t xml:space="preserve"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="00BE672B" w:rsidRPr="00BE672B">
        <w:rPr>
          <w:sz w:val="28"/>
          <w:szCs w:val="28"/>
        </w:rPr>
        <w:t>когенерации</w:t>
      </w:r>
      <w:proofErr w:type="spellEnd"/>
      <w:r w:rsidR="00BE672B" w:rsidRPr="00143B43">
        <w:rPr>
          <w:sz w:val="28"/>
          <w:szCs w:val="28"/>
        </w:rPr>
        <w:t xml:space="preserve"> считают в достаточной мере развитым</w:t>
      </w:r>
      <w:r>
        <w:rPr>
          <w:sz w:val="28"/>
          <w:szCs w:val="28"/>
        </w:rPr>
        <w:t xml:space="preserve"> </w:t>
      </w:r>
      <w:r w:rsidR="00F72B66">
        <w:rPr>
          <w:sz w:val="28"/>
          <w:szCs w:val="28"/>
        </w:rPr>
        <w:t xml:space="preserve">– </w:t>
      </w:r>
      <w:r w:rsidR="00F72B66" w:rsidRPr="007960B2">
        <w:rPr>
          <w:sz w:val="28"/>
          <w:szCs w:val="28"/>
        </w:rPr>
        <w:t>4</w:t>
      </w:r>
      <w:r w:rsidR="007960B2" w:rsidRPr="007960B2">
        <w:rPr>
          <w:sz w:val="28"/>
          <w:szCs w:val="28"/>
        </w:rPr>
        <w:t>0</w:t>
      </w:r>
      <w:r w:rsidR="00F72B66" w:rsidRPr="007960B2">
        <w:rPr>
          <w:sz w:val="28"/>
          <w:szCs w:val="28"/>
        </w:rPr>
        <w:t>,</w:t>
      </w:r>
      <w:r w:rsidR="007960B2" w:rsidRPr="007960B2">
        <w:rPr>
          <w:sz w:val="28"/>
          <w:szCs w:val="28"/>
        </w:rPr>
        <w:t>3</w:t>
      </w:r>
      <w:r w:rsidR="00F72B66">
        <w:rPr>
          <w:sz w:val="28"/>
          <w:szCs w:val="28"/>
        </w:rPr>
        <w:t xml:space="preserve"> % (202</w:t>
      </w:r>
      <w:r w:rsidR="00CE506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F72B66">
        <w:rPr>
          <w:sz w:val="28"/>
          <w:szCs w:val="28"/>
        </w:rPr>
        <w:t>–</w:t>
      </w:r>
      <w:r w:rsidR="00BE672B">
        <w:rPr>
          <w:sz w:val="28"/>
          <w:szCs w:val="28"/>
        </w:rPr>
        <w:t xml:space="preserve"> </w:t>
      </w:r>
      <w:r w:rsidR="00F72B66">
        <w:rPr>
          <w:sz w:val="28"/>
          <w:szCs w:val="28"/>
        </w:rPr>
        <w:t>4</w:t>
      </w:r>
      <w:r w:rsidR="00CE5066">
        <w:rPr>
          <w:sz w:val="28"/>
          <w:szCs w:val="28"/>
        </w:rPr>
        <w:t>1,6</w:t>
      </w:r>
      <w:r w:rsidR="00BE672B">
        <w:rPr>
          <w:sz w:val="28"/>
          <w:szCs w:val="28"/>
        </w:rPr>
        <w:t xml:space="preserve"> </w:t>
      </w:r>
      <w:r w:rsidR="00BE672B" w:rsidRPr="00143B43">
        <w:rPr>
          <w:sz w:val="28"/>
          <w:szCs w:val="28"/>
        </w:rPr>
        <w:t>%)  респондентов</w:t>
      </w:r>
      <w:r w:rsidR="00BE672B">
        <w:rPr>
          <w:sz w:val="28"/>
          <w:szCs w:val="28"/>
        </w:rPr>
        <w:t>.</w:t>
      </w:r>
    </w:p>
    <w:p w:rsidR="00BE672B" w:rsidRDefault="00BE672B" w:rsidP="00BE672B">
      <w:pPr>
        <w:ind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рисунке 19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 xml:space="preserve">, качеству и возможности выбора на </w:t>
      </w:r>
      <w:r>
        <w:rPr>
          <w:sz w:val="28"/>
          <w:szCs w:val="28"/>
        </w:rPr>
        <w:t xml:space="preserve">представленном </w:t>
      </w:r>
      <w:r w:rsidRPr="00CC1FF1">
        <w:rPr>
          <w:sz w:val="28"/>
          <w:szCs w:val="28"/>
        </w:rPr>
        <w:t>рынке.</w:t>
      </w:r>
    </w:p>
    <w:p w:rsidR="00BE672B" w:rsidRDefault="00BE672B" w:rsidP="00BE672B">
      <w:pPr>
        <w:ind w:firstLine="64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Рисунок 19.</w:t>
      </w:r>
    </w:p>
    <w:p w:rsidR="000914A6" w:rsidRDefault="00BE672B" w:rsidP="00D5175C">
      <w:pPr>
        <w:jc w:val="both"/>
        <w:rPr>
          <w:b/>
          <w:sz w:val="28"/>
          <w:szCs w:val="28"/>
        </w:rPr>
      </w:pPr>
      <w:r w:rsidRPr="00BE672B">
        <w:rPr>
          <w:b/>
          <w:noProof/>
          <w:sz w:val="28"/>
          <w:szCs w:val="28"/>
        </w:rPr>
        <w:drawing>
          <wp:inline distT="0" distB="0" distL="0" distR="0">
            <wp:extent cx="6210300" cy="2314575"/>
            <wp:effectExtent l="0" t="0" r="0" b="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76DB6" w:rsidRPr="007960B2" w:rsidRDefault="00576DB6" w:rsidP="00576DB6">
      <w:pPr>
        <w:pStyle w:val="a7"/>
        <w:ind w:left="0" w:firstLine="644"/>
        <w:jc w:val="both"/>
        <w:rPr>
          <w:sz w:val="28"/>
          <w:szCs w:val="28"/>
        </w:rPr>
      </w:pPr>
      <w:r w:rsidRPr="007960B2">
        <w:rPr>
          <w:sz w:val="28"/>
          <w:szCs w:val="28"/>
        </w:rPr>
        <w:t>18. Рынок оказания услуг по перевозке пассажиров автомобильным транспортом  по муниципальным маршрутам регулярных перевозок.</w:t>
      </w:r>
    </w:p>
    <w:p w:rsidR="00576DB6" w:rsidRDefault="00F72B66" w:rsidP="00576DB6">
      <w:pPr>
        <w:pStyle w:val="a7"/>
        <w:ind w:left="0" w:firstLine="709"/>
        <w:jc w:val="both"/>
        <w:rPr>
          <w:sz w:val="28"/>
          <w:szCs w:val="28"/>
        </w:rPr>
      </w:pPr>
      <w:r w:rsidRPr="00D90007">
        <w:rPr>
          <w:sz w:val="28"/>
          <w:szCs w:val="28"/>
        </w:rPr>
        <w:lastRenderedPageBreak/>
        <w:t xml:space="preserve">Более </w:t>
      </w:r>
      <w:r w:rsidR="00D90007" w:rsidRPr="00D90007">
        <w:rPr>
          <w:sz w:val="28"/>
          <w:szCs w:val="28"/>
        </w:rPr>
        <w:t>58,5</w:t>
      </w:r>
      <w:r w:rsidR="00576DB6" w:rsidRPr="00D90007">
        <w:rPr>
          <w:sz w:val="28"/>
          <w:szCs w:val="28"/>
        </w:rPr>
        <w:t xml:space="preserve"> %</w:t>
      </w:r>
      <w:r w:rsidR="00576DB6">
        <w:rPr>
          <w:sz w:val="28"/>
          <w:szCs w:val="28"/>
        </w:rPr>
        <w:t xml:space="preserve"> (</w:t>
      </w:r>
      <w:r>
        <w:rPr>
          <w:sz w:val="28"/>
          <w:szCs w:val="28"/>
        </w:rPr>
        <w:t>в 202</w:t>
      </w:r>
      <w:r w:rsidR="00F500B2">
        <w:rPr>
          <w:sz w:val="28"/>
          <w:szCs w:val="28"/>
        </w:rPr>
        <w:t>2</w:t>
      </w:r>
      <w:r w:rsidR="00341B6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- </w:t>
      </w:r>
      <w:r w:rsidR="00F500B2">
        <w:rPr>
          <w:sz w:val="28"/>
          <w:szCs w:val="28"/>
        </w:rPr>
        <w:t xml:space="preserve"> 60,9</w:t>
      </w:r>
      <w:r w:rsidR="00576DB6">
        <w:rPr>
          <w:sz w:val="28"/>
          <w:szCs w:val="28"/>
        </w:rPr>
        <w:t xml:space="preserve">%) респондентов считают, что рынок оказания услуг по перевозке пассажиров </w:t>
      </w:r>
      <w:r w:rsidR="00576DB6" w:rsidRPr="00F14904">
        <w:rPr>
          <w:sz w:val="28"/>
          <w:szCs w:val="28"/>
        </w:rPr>
        <w:t>автомобильным транспортом  по муниципальным маршрутам регулярных перевозок</w:t>
      </w:r>
      <w:r w:rsidR="00576DB6">
        <w:rPr>
          <w:sz w:val="28"/>
          <w:szCs w:val="28"/>
        </w:rPr>
        <w:t xml:space="preserve"> представлен в ма</w:t>
      </w:r>
      <w:r>
        <w:rPr>
          <w:sz w:val="28"/>
          <w:szCs w:val="28"/>
        </w:rPr>
        <w:t xml:space="preserve">лом количестве и всего лишь </w:t>
      </w:r>
      <w:r w:rsidRPr="007960B2">
        <w:rPr>
          <w:sz w:val="28"/>
          <w:szCs w:val="28"/>
        </w:rPr>
        <w:t>3</w:t>
      </w:r>
      <w:r w:rsidR="007960B2" w:rsidRPr="007960B2">
        <w:rPr>
          <w:sz w:val="28"/>
          <w:szCs w:val="28"/>
        </w:rPr>
        <w:t>5</w:t>
      </w:r>
      <w:r w:rsidRPr="007960B2">
        <w:rPr>
          <w:sz w:val="28"/>
          <w:szCs w:val="28"/>
        </w:rPr>
        <w:t>,</w:t>
      </w:r>
      <w:r w:rsidR="007960B2" w:rsidRPr="007960B2">
        <w:rPr>
          <w:sz w:val="28"/>
          <w:szCs w:val="28"/>
        </w:rPr>
        <w:t>2</w:t>
      </w:r>
      <w:r w:rsidR="00576DB6">
        <w:rPr>
          <w:sz w:val="28"/>
          <w:szCs w:val="28"/>
        </w:rPr>
        <w:t xml:space="preserve"> % (</w:t>
      </w:r>
      <w:r w:rsidR="00830DDE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F500B2">
        <w:rPr>
          <w:sz w:val="28"/>
          <w:szCs w:val="28"/>
        </w:rPr>
        <w:t>2</w:t>
      </w:r>
      <w:r w:rsidR="00576DB6">
        <w:rPr>
          <w:sz w:val="28"/>
          <w:szCs w:val="28"/>
        </w:rPr>
        <w:t xml:space="preserve"> г</w:t>
      </w:r>
      <w:r w:rsidR="00341B6C">
        <w:rPr>
          <w:sz w:val="28"/>
          <w:szCs w:val="28"/>
        </w:rPr>
        <w:t>оду</w:t>
      </w:r>
      <w:r w:rsidR="00576D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76DB6">
        <w:rPr>
          <w:sz w:val="28"/>
          <w:szCs w:val="28"/>
        </w:rPr>
        <w:t xml:space="preserve"> </w:t>
      </w:r>
      <w:r w:rsidR="00F500B2">
        <w:rPr>
          <w:sz w:val="28"/>
          <w:szCs w:val="28"/>
        </w:rPr>
        <w:t>34,7</w:t>
      </w:r>
      <w:r w:rsidR="00576DB6">
        <w:rPr>
          <w:sz w:val="28"/>
          <w:szCs w:val="28"/>
        </w:rPr>
        <w:t xml:space="preserve"> %) считают его </w:t>
      </w:r>
      <w:proofErr w:type="gramStart"/>
      <w:r w:rsidR="00576DB6">
        <w:rPr>
          <w:sz w:val="28"/>
          <w:szCs w:val="28"/>
        </w:rPr>
        <w:t>достаточно конкурентным</w:t>
      </w:r>
      <w:proofErr w:type="gramEnd"/>
      <w:r w:rsidR="00576DB6">
        <w:rPr>
          <w:sz w:val="28"/>
          <w:szCs w:val="28"/>
        </w:rPr>
        <w:t>.</w:t>
      </w:r>
    </w:p>
    <w:p w:rsidR="00576DB6" w:rsidRDefault="00576DB6" w:rsidP="00576DB6">
      <w:pPr>
        <w:ind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рисунке 20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>, к</w:t>
      </w:r>
      <w:r w:rsidR="00EA2BF3">
        <w:rPr>
          <w:sz w:val="28"/>
          <w:szCs w:val="28"/>
        </w:rPr>
        <w:t>ачеству и возможности выбора на</w:t>
      </w:r>
      <w:r>
        <w:rPr>
          <w:sz w:val="28"/>
          <w:szCs w:val="28"/>
        </w:rPr>
        <w:t xml:space="preserve"> </w:t>
      </w:r>
      <w:r w:rsidRPr="00CC1FF1">
        <w:rPr>
          <w:sz w:val="28"/>
          <w:szCs w:val="28"/>
        </w:rPr>
        <w:t>рынке</w:t>
      </w:r>
      <w:r w:rsidR="00EA2BF3">
        <w:rPr>
          <w:sz w:val="28"/>
          <w:szCs w:val="28"/>
        </w:rPr>
        <w:t xml:space="preserve"> </w:t>
      </w:r>
      <w:r w:rsidR="00EA2BF3" w:rsidRPr="00EA2BF3">
        <w:rPr>
          <w:sz w:val="28"/>
          <w:szCs w:val="28"/>
        </w:rPr>
        <w:t>оказания услуг по перевозке пассажиров автомобильным транспортом  по муниципальным маршрутам регулярных перевозок</w:t>
      </w:r>
      <w:r w:rsidRPr="00CC1FF1">
        <w:rPr>
          <w:sz w:val="28"/>
          <w:szCs w:val="28"/>
        </w:rPr>
        <w:t>.</w:t>
      </w:r>
    </w:p>
    <w:p w:rsidR="00746C01" w:rsidRPr="00CE5396" w:rsidRDefault="00CE5396" w:rsidP="00CE5396">
      <w:pPr>
        <w:jc w:val="right"/>
        <w:rPr>
          <w:sz w:val="28"/>
          <w:szCs w:val="28"/>
        </w:rPr>
      </w:pPr>
      <w:r w:rsidRPr="00CE5396">
        <w:rPr>
          <w:sz w:val="28"/>
          <w:szCs w:val="28"/>
        </w:rPr>
        <w:t>Рисунок 20.</w:t>
      </w:r>
    </w:p>
    <w:p w:rsidR="00746C01" w:rsidRDefault="00CE5396" w:rsidP="00D5175C">
      <w:pPr>
        <w:jc w:val="both"/>
        <w:rPr>
          <w:b/>
          <w:sz w:val="28"/>
          <w:szCs w:val="28"/>
        </w:rPr>
      </w:pPr>
      <w:r w:rsidRPr="00CE5396">
        <w:rPr>
          <w:b/>
          <w:noProof/>
          <w:sz w:val="28"/>
          <w:szCs w:val="28"/>
        </w:rPr>
        <w:drawing>
          <wp:inline distT="0" distB="0" distL="0" distR="0">
            <wp:extent cx="6181725" cy="2447925"/>
            <wp:effectExtent l="0" t="0" r="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E5396" w:rsidRPr="007960B2" w:rsidRDefault="00CE5396" w:rsidP="00CE5396">
      <w:pPr>
        <w:pStyle w:val="a7"/>
        <w:ind w:left="0" w:firstLine="644"/>
        <w:jc w:val="both"/>
        <w:rPr>
          <w:sz w:val="28"/>
          <w:szCs w:val="28"/>
        </w:rPr>
      </w:pPr>
      <w:r w:rsidRPr="007960B2">
        <w:rPr>
          <w:sz w:val="28"/>
          <w:szCs w:val="28"/>
        </w:rPr>
        <w:t xml:space="preserve">19. Рынок оказания услуг по перевозке пассажиров автомобильным транспортом  по </w:t>
      </w:r>
      <w:r w:rsidR="00D85386" w:rsidRPr="007960B2">
        <w:rPr>
          <w:sz w:val="28"/>
          <w:szCs w:val="28"/>
        </w:rPr>
        <w:t>межмуниципальным</w:t>
      </w:r>
      <w:r w:rsidRPr="007960B2">
        <w:rPr>
          <w:sz w:val="28"/>
          <w:szCs w:val="28"/>
        </w:rPr>
        <w:t xml:space="preserve"> маршрутам регулярных перевозок.</w:t>
      </w:r>
    </w:p>
    <w:p w:rsidR="00CE5396" w:rsidRDefault="00CE5396" w:rsidP="00CE53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</w:t>
      </w:r>
      <w:r w:rsidR="005C3F8C" w:rsidRPr="007960B2">
        <w:rPr>
          <w:sz w:val="28"/>
          <w:szCs w:val="28"/>
        </w:rPr>
        <w:t>5</w:t>
      </w:r>
      <w:r w:rsidR="007960B2" w:rsidRPr="007960B2">
        <w:rPr>
          <w:sz w:val="28"/>
          <w:szCs w:val="28"/>
        </w:rPr>
        <w:t>6</w:t>
      </w:r>
      <w:r w:rsidR="005C3F8C" w:rsidRPr="007960B2">
        <w:rPr>
          <w:sz w:val="28"/>
          <w:szCs w:val="28"/>
        </w:rPr>
        <w:t>,</w:t>
      </w:r>
      <w:r w:rsidR="007960B2" w:rsidRPr="007960B2">
        <w:rPr>
          <w:sz w:val="28"/>
          <w:szCs w:val="28"/>
        </w:rPr>
        <w:t>5</w:t>
      </w:r>
      <w:r w:rsidR="00341B6C">
        <w:rPr>
          <w:sz w:val="28"/>
          <w:szCs w:val="28"/>
        </w:rPr>
        <w:t xml:space="preserve"> % (</w:t>
      </w:r>
      <w:r w:rsidR="00830DDE">
        <w:rPr>
          <w:sz w:val="28"/>
          <w:szCs w:val="28"/>
        </w:rPr>
        <w:t xml:space="preserve">в </w:t>
      </w:r>
      <w:r w:rsidR="005C3F8C">
        <w:rPr>
          <w:sz w:val="28"/>
          <w:szCs w:val="28"/>
        </w:rPr>
        <w:t>202</w:t>
      </w:r>
      <w:r w:rsidR="00BE2101">
        <w:rPr>
          <w:sz w:val="28"/>
          <w:szCs w:val="28"/>
        </w:rPr>
        <w:t>2</w:t>
      </w:r>
      <w:r w:rsidR="00341B6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- </w:t>
      </w:r>
      <w:r w:rsidR="005C3F8C">
        <w:rPr>
          <w:sz w:val="28"/>
          <w:szCs w:val="28"/>
        </w:rPr>
        <w:t>5</w:t>
      </w:r>
      <w:r w:rsidR="00BE2101">
        <w:rPr>
          <w:sz w:val="28"/>
          <w:szCs w:val="28"/>
        </w:rPr>
        <w:t>5,9</w:t>
      </w:r>
      <w:r>
        <w:rPr>
          <w:sz w:val="28"/>
          <w:szCs w:val="28"/>
        </w:rPr>
        <w:t xml:space="preserve"> %) респондентов считают, что рынок оказания услуг по перевозке пассажиров </w:t>
      </w:r>
      <w:r w:rsidRPr="00F14904">
        <w:rPr>
          <w:sz w:val="28"/>
          <w:szCs w:val="28"/>
        </w:rPr>
        <w:t xml:space="preserve">автомобильным транспортом  по </w:t>
      </w:r>
      <w:r w:rsidR="00D85386">
        <w:rPr>
          <w:sz w:val="28"/>
          <w:szCs w:val="28"/>
        </w:rPr>
        <w:t>межмуниципальным</w:t>
      </w:r>
      <w:r w:rsidRPr="00F14904">
        <w:rPr>
          <w:sz w:val="28"/>
          <w:szCs w:val="28"/>
        </w:rPr>
        <w:t xml:space="preserve"> маршрутам регулярных перевозок</w:t>
      </w:r>
      <w:r>
        <w:rPr>
          <w:sz w:val="28"/>
          <w:szCs w:val="28"/>
        </w:rPr>
        <w:t xml:space="preserve"> представлен в </w:t>
      </w:r>
      <w:r w:rsidR="00D85386">
        <w:rPr>
          <w:sz w:val="28"/>
          <w:szCs w:val="28"/>
        </w:rPr>
        <w:t>достаточном</w:t>
      </w:r>
      <w:r>
        <w:rPr>
          <w:sz w:val="28"/>
          <w:szCs w:val="28"/>
        </w:rPr>
        <w:t xml:space="preserve"> к</w:t>
      </w:r>
      <w:r w:rsidR="00D85386">
        <w:rPr>
          <w:sz w:val="28"/>
          <w:szCs w:val="28"/>
        </w:rPr>
        <w:t xml:space="preserve">оличестве, в то же </w:t>
      </w:r>
      <w:r w:rsidR="00D85386" w:rsidRPr="00E0690F">
        <w:rPr>
          <w:sz w:val="28"/>
          <w:szCs w:val="28"/>
        </w:rPr>
        <w:t xml:space="preserve">время </w:t>
      </w:r>
      <w:r w:rsidR="00E0690F" w:rsidRPr="00E0690F">
        <w:rPr>
          <w:sz w:val="28"/>
          <w:szCs w:val="28"/>
        </w:rPr>
        <w:t>39,1</w:t>
      </w:r>
      <w:r w:rsidRPr="00E0690F">
        <w:rPr>
          <w:sz w:val="28"/>
          <w:szCs w:val="28"/>
        </w:rPr>
        <w:t xml:space="preserve"> % (</w:t>
      </w:r>
      <w:r w:rsidR="00830DDE">
        <w:rPr>
          <w:sz w:val="28"/>
          <w:szCs w:val="28"/>
        </w:rPr>
        <w:t xml:space="preserve">в </w:t>
      </w:r>
      <w:r w:rsidR="005C3F8C">
        <w:rPr>
          <w:sz w:val="28"/>
          <w:szCs w:val="28"/>
        </w:rPr>
        <w:t>202</w:t>
      </w:r>
      <w:r w:rsidR="00BE2101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341B6C">
        <w:rPr>
          <w:sz w:val="28"/>
          <w:szCs w:val="28"/>
        </w:rPr>
        <w:t>оду</w:t>
      </w:r>
      <w:r>
        <w:rPr>
          <w:sz w:val="28"/>
          <w:szCs w:val="28"/>
        </w:rPr>
        <w:t xml:space="preserve"> </w:t>
      </w:r>
      <w:r w:rsidR="00BE21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5386">
        <w:rPr>
          <w:sz w:val="28"/>
          <w:szCs w:val="28"/>
        </w:rPr>
        <w:t>4</w:t>
      </w:r>
      <w:r w:rsidR="00BE2101">
        <w:rPr>
          <w:sz w:val="28"/>
          <w:szCs w:val="28"/>
        </w:rPr>
        <w:t>1,1</w:t>
      </w:r>
      <w:r>
        <w:rPr>
          <w:sz w:val="28"/>
          <w:szCs w:val="28"/>
        </w:rPr>
        <w:t xml:space="preserve"> %) считают его </w:t>
      </w:r>
      <w:r w:rsidR="00D85386">
        <w:rPr>
          <w:sz w:val="28"/>
          <w:szCs w:val="28"/>
        </w:rPr>
        <w:t>не</w:t>
      </w:r>
      <w:r>
        <w:rPr>
          <w:sz w:val="28"/>
          <w:szCs w:val="28"/>
        </w:rPr>
        <w:t>достаточно конкурентным.</w:t>
      </w:r>
    </w:p>
    <w:p w:rsidR="00CE5396" w:rsidRDefault="00D85386" w:rsidP="00CE5396">
      <w:pPr>
        <w:ind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21 </w:t>
      </w:r>
      <w:r w:rsidR="00CE5396">
        <w:rPr>
          <w:sz w:val="28"/>
          <w:szCs w:val="28"/>
        </w:rPr>
        <w:t>отражено как сложило</w:t>
      </w:r>
      <w:r w:rsidR="00CE5396" w:rsidRPr="0096717F">
        <w:rPr>
          <w:sz w:val="28"/>
          <w:szCs w:val="28"/>
        </w:rPr>
        <w:t>сь мнение респондентов в отношении к ценообразованию</w:t>
      </w:r>
      <w:r w:rsidR="00CE5396" w:rsidRPr="00CC1FF1">
        <w:rPr>
          <w:sz w:val="28"/>
          <w:szCs w:val="28"/>
        </w:rPr>
        <w:t>, к</w:t>
      </w:r>
      <w:r w:rsidR="00CE5396">
        <w:rPr>
          <w:sz w:val="28"/>
          <w:szCs w:val="28"/>
        </w:rPr>
        <w:t xml:space="preserve">ачеству и возможности выбора на </w:t>
      </w:r>
      <w:r w:rsidR="00CE5396" w:rsidRPr="00CC1FF1">
        <w:rPr>
          <w:sz w:val="28"/>
          <w:szCs w:val="28"/>
        </w:rPr>
        <w:t>рынке</w:t>
      </w:r>
      <w:r w:rsidR="00CE5396">
        <w:rPr>
          <w:sz w:val="28"/>
          <w:szCs w:val="28"/>
        </w:rPr>
        <w:t xml:space="preserve"> </w:t>
      </w:r>
      <w:r w:rsidR="00CE5396" w:rsidRPr="00EA2BF3">
        <w:rPr>
          <w:sz w:val="28"/>
          <w:szCs w:val="28"/>
        </w:rPr>
        <w:t>оказания услуг по перевозке пассажиров автомобильным транспортом  по м</w:t>
      </w:r>
      <w:r>
        <w:rPr>
          <w:sz w:val="28"/>
          <w:szCs w:val="28"/>
        </w:rPr>
        <w:t>ежмуниципальным</w:t>
      </w:r>
      <w:r w:rsidR="00CE5396" w:rsidRPr="00EA2BF3">
        <w:rPr>
          <w:sz w:val="28"/>
          <w:szCs w:val="28"/>
        </w:rPr>
        <w:t xml:space="preserve"> маршрутам регулярных перевозок</w:t>
      </w:r>
      <w:r w:rsidR="00CE5396" w:rsidRPr="00CC1FF1">
        <w:rPr>
          <w:sz w:val="28"/>
          <w:szCs w:val="28"/>
        </w:rPr>
        <w:t>.</w:t>
      </w:r>
    </w:p>
    <w:p w:rsidR="00746C01" w:rsidRPr="00D85386" w:rsidRDefault="00D85386" w:rsidP="00D85386">
      <w:pPr>
        <w:jc w:val="right"/>
        <w:rPr>
          <w:sz w:val="28"/>
          <w:szCs w:val="28"/>
        </w:rPr>
      </w:pPr>
      <w:r w:rsidRPr="00D85386">
        <w:rPr>
          <w:sz w:val="28"/>
          <w:szCs w:val="28"/>
        </w:rPr>
        <w:t>Рисунок 21.</w:t>
      </w:r>
    </w:p>
    <w:p w:rsidR="00746C01" w:rsidRPr="00341B6C" w:rsidRDefault="00D85386" w:rsidP="00D5175C">
      <w:pPr>
        <w:jc w:val="both"/>
        <w:rPr>
          <w:sz w:val="28"/>
          <w:szCs w:val="28"/>
        </w:rPr>
      </w:pPr>
      <w:r w:rsidRPr="00341B6C">
        <w:rPr>
          <w:noProof/>
          <w:sz w:val="28"/>
          <w:szCs w:val="28"/>
        </w:rPr>
        <w:drawing>
          <wp:inline distT="0" distB="0" distL="0" distR="0">
            <wp:extent cx="6238875" cy="2305050"/>
            <wp:effectExtent l="0" t="0" r="0" b="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41660" w:rsidRPr="0080628C" w:rsidRDefault="00173478" w:rsidP="00B41660">
      <w:pPr>
        <w:pStyle w:val="a7"/>
        <w:ind w:left="0" w:firstLine="644"/>
        <w:jc w:val="both"/>
        <w:rPr>
          <w:sz w:val="28"/>
          <w:szCs w:val="28"/>
        </w:rPr>
      </w:pPr>
      <w:r w:rsidRPr="0080628C">
        <w:rPr>
          <w:sz w:val="28"/>
          <w:szCs w:val="28"/>
        </w:rPr>
        <w:t>20</w:t>
      </w:r>
      <w:r w:rsidR="00B41660" w:rsidRPr="0080628C">
        <w:rPr>
          <w:sz w:val="28"/>
          <w:szCs w:val="28"/>
        </w:rPr>
        <w:t>. Рынок оказания услуг по перевозке пассажиров и багажа легковым такси на территории субъекта Российской Федерации.</w:t>
      </w:r>
    </w:p>
    <w:p w:rsidR="00B41660" w:rsidRDefault="000556F9" w:rsidP="00B41660">
      <w:pPr>
        <w:pStyle w:val="a7"/>
        <w:ind w:left="0" w:firstLine="709"/>
        <w:jc w:val="both"/>
        <w:rPr>
          <w:sz w:val="28"/>
          <w:szCs w:val="28"/>
        </w:rPr>
      </w:pPr>
      <w:r w:rsidRPr="000556F9">
        <w:rPr>
          <w:sz w:val="28"/>
          <w:szCs w:val="28"/>
        </w:rPr>
        <w:lastRenderedPageBreak/>
        <w:t>48</w:t>
      </w:r>
      <w:r w:rsidR="00425009" w:rsidRPr="000556F9">
        <w:rPr>
          <w:sz w:val="28"/>
          <w:szCs w:val="28"/>
        </w:rPr>
        <w:t>,</w:t>
      </w:r>
      <w:r w:rsidRPr="000556F9">
        <w:rPr>
          <w:sz w:val="28"/>
          <w:szCs w:val="28"/>
        </w:rPr>
        <w:t>2</w:t>
      </w:r>
      <w:r w:rsidR="00B41660">
        <w:rPr>
          <w:sz w:val="28"/>
          <w:szCs w:val="28"/>
        </w:rPr>
        <w:t xml:space="preserve"> % (</w:t>
      </w:r>
      <w:r w:rsidR="00425009">
        <w:rPr>
          <w:sz w:val="28"/>
          <w:szCs w:val="28"/>
        </w:rPr>
        <w:t>в 202</w:t>
      </w:r>
      <w:r w:rsidR="00F52ED3">
        <w:rPr>
          <w:sz w:val="28"/>
          <w:szCs w:val="28"/>
        </w:rPr>
        <w:t>2</w:t>
      </w:r>
      <w:r w:rsidR="008337CE">
        <w:rPr>
          <w:sz w:val="28"/>
          <w:szCs w:val="28"/>
        </w:rPr>
        <w:t xml:space="preserve"> году </w:t>
      </w:r>
      <w:r w:rsidR="00F52ED3">
        <w:rPr>
          <w:sz w:val="28"/>
          <w:szCs w:val="28"/>
        </w:rPr>
        <w:t>–</w:t>
      </w:r>
      <w:r w:rsidR="00B41660">
        <w:rPr>
          <w:sz w:val="28"/>
          <w:szCs w:val="28"/>
        </w:rPr>
        <w:t xml:space="preserve"> </w:t>
      </w:r>
      <w:r w:rsidR="00425009">
        <w:rPr>
          <w:sz w:val="28"/>
          <w:szCs w:val="28"/>
        </w:rPr>
        <w:t>50</w:t>
      </w:r>
      <w:r w:rsidR="00F52ED3">
        <w:rPr>
          <w:sz w:val="28"/>
          <w:szCs w:val="28"/>
        </w:rPr>
        <w:t>,5</w:t>
      </w:r>
      <w:r w:rsidR="00B41660">
        <w:rPr>
          <w:sz w:val="28"/>
          <w:szCs w:val="28"/>
        </w:rPr>
        <w:t xml:space="preserve"> %) респондентов считают, что рынок оказания услуг по </w:t>
      </w:r>
      <w:r w:rsidR="00B41660" w:rsidRPr="00B41660">
        <w:rPr>
          <w:sz w:val="28"/>
          <w:szCs w:val="28"/>
        </w:rPr>
        <w:t xml:space="preserve">перевозке пассажиров и багажа легковым такси на территории субъекта </w:t>
      </w:r>
      <w:r w:rsidR="00B41660" w:rsidRPr="00E0690F">
        <w:rPr>
          <w:sz w:val="28"/>
          <w:szCs w:val="28"/>
        </w:rPr>
        <w:t>Российской Федерации представлен в достаточном количестве, в то же вре</w:t>
      </w:r>
      <w:r w:rsidR="00425009" w:rsidRPr="00E0690F">
        <w:rPr>
          <w:sz w:val="28"/>
          <w:szCs w:val="28"/>
        </w:rPr>
        <w:t xml:space="preserve">мя </w:t>
      </w:r>
      <w:r w:rsidR="00E0690F" w:rsidRPr="00E0690F">
        <w:rPr>
          <w:sz w:val="28"/>
          <w:szCs w:val="28"/>
        </w:rPr>
        <w:t>45,8</w:t>
      </w:r>
      <w:r w:rsidR="00B41660" w:rsidRPr="00F52ED3">
        <w:rPr>
          <w:color w:val="FF0000"/>
          <w:sz w:val="28"/>
          <w:szCs w:val="28"/>
        </w:rPr>
        <w:t xml:space="preserve"> </w:t>
      </w:r>
      <w:r w:rsidR="00B41660">
        <w:rPr>
          <w:sz w:val="28"/>
          <w:szCs w:val="28"/>
        </w:rPr>
        <w:t>% (</w:t>
      </w:r>
      <w:r w:rsidR="008337CE">
        <w:rPr>
          <w:sz w:val="28"/>
          <w:szCs w:val="28"/>
        </w:rPr>
        <w:t xml:space="preserve">в </w:t>
      </w:r>
      <w:r w:rsidR="00425009">
        <w:rPr>
          <w:sz w:val="28"/>
          <w:szCs w:val="28"/>
        </w:rPr>
        <w:t>202</w:t>
      </w:r>
      <w:r w:rsidR="00F52ED3">
        <w:rPr>
          <w:sz w:val="28"/>
          <w:szCs w:val="28"/>
        </w:rPr>
        <w:t>2</w:t>
      </w:r>
      <w:r w:rsidR="00B41660">
        <w:rPr>
          <w:sz w:val="28"/>
          <w:szCs w:val="28"/>
        </w:rPr>
        <w:t xml:space="preserve"> г</w:t>
      </w:r>
      <w:r w:rsidR="008337CE">
        <w:rPr>
          <w:sz w:val="28"/>
          <w:szCs w:val="28"/>
        </w:rPr>
        <w:t>оду</w:t>
      </w:r>
      <w:r w:rsidR="00B41660">
        <w:rPr>
          <w:sz w:val="28"/>
          <w:szCs w:val="28"/>
        </w:rPr>
        <w:t xml:space="preserve"> </w:t>
      </w:r>
      <w:r w:rsidR="00425009">
        <w:rPr>
          <w:sz w:val="28"/>
          <w:szCs w:val="28"/>
        </w:rPr>
        <w:t>–</w:t>
      </w:r>
      <w:r w:rsidR="00B41660">
        <w:rPr>
          <w:sz w:val="28"/>
          <w:szCs w:val="28"/>
        </w:rPr>
        <w:t xml:space="preserve"> </w:t>
      </w:r>
      <w:r w:rsidR="00425009">
        <w:rPr>
          <w:sz w:val="28"/>
          <w:szCs w:val="28"/>
        </w:rPr>
        <w:t>4</w:t>
      </w:r>
      <w:r w:rsidR="00F52ED3">
        <w:rPr>
          <w:sz w:val="28"/>
          <w:szCs w:val="28"/>
        </w:rPr>
        <w:t>5</w:t>
      </w:r>
      <w:r w:rsidR="00425009">
        <w:rPr>
          <w:sz w:val="28"/>
          <w:szCs w:val="28"/>
        </w:rPr>
        <w:t>,</w:t>
      </w:r>
      <w:r w:rsidR="00F52ED3">
        <w:rPr>
          <w:sz w:val="28"/>
          <w:szCs w:val="28"/>
        </w:rPr>
        <w:t>5</w:t>
      </w:r>
      <w:r w:rsidR="00B41660">
        <w:rPr>
          <w:sz w:val="28"/>
          <w:szCs w:val="28"/>
        </w:rPr>
        <w:t xml:space="preserve"> %) считают его недостаточно конкурентным.</w:t>
      </w:r>
    </w:p>
    <w:p w:rsidR="00B41660" w:rsidRDefault="00B41660" w:rsidP="00B41660">
      <w:pPr>
        <w:ind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рисунке 22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>, к</w:t>
      </w:r>
      <w:r>
        <w:rPr>
          <w:sz w:val="28"/>
          <w:szCs w:val="28"/>
        </w:rPr>
        <w:t xml:space="preserve">ачеству и возможности выбора на </w:t>
      </w:r>
      <w:r w:rsidRPr="00CC1FF1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EA2BF3">
        <w:rPr>
          <w:sz w:val="28"/>
          <w:szCs w:val="28"/>
        </w:rPr>
        <w:t xml:space="preserve">оказания услуг по перевозке </w:t>
      </w:r>
      <w:r w:rsidRPr="00B41660">
        <w:rPr>
          <w:sz w:val="28"/>
          <w:szCs w:val="28"/>
        </w:rPr>
        <w:t xml:space="preserve">пассажиров и багажа легковым такси на территории </w:t>
      </w:r>
      <w:r w:rsidR="00425009">
        <w:rPr>
          <w:sz w:val="28"/>
          <w:szCs w:val="28"/>
        </w:rPr>
        <w:t>округа</w:t>
      </w:r>
      <w:r w:rsidRPr="00CC1FF1">
        <w:rPr>
          <w:sz w:val="28"/>
          <w:szCs w:val="28"/>
        </w:rPr>
        <w:t>.</w:t>
      </w:r>
    </w:p>
    <w:p w:rsidR="00B41660" w:rsidRPr="00D85386" w:rsidRDefault="00B41660" w:rsidP="00B41660">
      <w:pPr>
        <w:jc w:val="right"/>
        <w:rPr>
          <w:sz w:val="28"/>
          <w:szCs w:val="28"/>
        </w:rPr>
      </w:pPr>
      <w:r>
        <w:rPr>
          <w:sz w:val="28"/>
          <w:szCs w:val="28"/>
        </w:rPr>
        <w:t>Рисунок 22</w:t>
      </w:r>
      <w:r w:rsidRPr="00D85386">
        <w:rPr>
          <w:sz w:val="28"/>
          <w:szCs w:val="28"/>
        </w:rPr>
        <w:t>.</w:t>
      </w:r>
    </w:p>
    <w:p w:rsidR="00746C01" w:rsidRDefault="00B41660" w:rsidP="00D5175C">
      <w:pPr>
        <w:jc w:val="both"/>
        <w:rPr>
          <w:b/>
          <w:sz w:val="28"/>
          <w:szCs w:val="28"/>
        </w:rPr>
      </w:pPr>
      <w:r w:rsidRPr="00B41660">
        <w:rPr>
          <w:b/>
          <w:noProof/>
          <w:sz w:val="28"/>
          <w:szCs w:val="28"/>
        </w:rPr>
        <w:drawing>
          <wp:inline distT="0" distB="0" distL="0" distR="0">
            <wp:extent cx="6276975" cy="2905125"/>
            <wp:effectExtent l="0" t="0" r="0" b="0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73478" w:rsidRPr="000556F9" w:rsidRDefault="00173478" w:rsidP="00173478">
      <w:pPr>
        <w:ind w:firstLine="708"/>
        <w:jc w:val="both"/>
        <w:rPr>
          <w:sz w:val="28"/>
          <w:szCs w:val="28"/>
        </w:rPr>
      </w:pPr>
      <w:r w:rsidRPr="000556F9">
        <w:rPr>
          <w:sz w:val="28"/>
          <w:szCs w:val="28"/>
        </w:rPr>
        <w:t>21. Рынок ремонта автотранспортных средств.</w:t>
      </w:r>
    </w:p>
    <w:p w:rsidR="00173478" w:rsidRDefault="00425009" w:rsidP="00173478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r w:rsidRPr="00224F47">
        <w:rPr>
          <w:sz w:val="28"/>
          <w:szCs w:val="28"/>
        </w:rPr>
        <w:t>5</w:t>
      </w:r>
      <w:r w:rsidR="00224F47" w:rsidRPr="00224F47">
        <w:rPr>
          <w:sz w:val="28"/>
          <w:szCs w:val="28"/>
        </w:rPr>
        <w:t>8</w:t>
      </w:r>
      <w:r w:rsidRPr="00224F47">
        <w:rPr>
          <w:sz w:val="28"/>
          <w:szCs w:val="28"/>
        </w:rPr>
        <w:t>,</w:t>
      </w:r>
      <w:r w:rsidR="00224F47" w:rsidRPr="00224F47">
        <w:rPr>
          <w:sz w:val="28"/>
          <w:szCs w:val="28"/>
        </w:rPr>
        <w:t>1</w:t>
      </w:r>
      <w:r w:rsidR="00173478">
        <w:rPr>
          <w:sz w:val="28"/>
          <w:szCs w:val="28"/>
        </w:rPr>
        <w:t xml:space="preserve"> % (</w:t>
      </w:r>
      <w:r w:rsidR="00E83FA1">
        <w:rPr>
          <w:sz w:val="28"/>
          <w:szCs w:val="28"/>
        </w:rPr>
        <w:t>в 2022</w:t>
      </w:r>
      <w:r w:rsidR="008337CE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17347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83FA1">
        <w:rPr>
          <w:sz w:val="28"/>
          <w:szCs w:val="28"/>
        </w:rPr>
        <w:t>7,4</w:t>
      </w:r>
      <w:r w:rsidR="00173478">
        <w:rPr>
          <w:sz w:val="28"/>
          <w:szCs w:val="28"/>
        </w:rPr>
        <w:t xml:space="preserve"> %) опрошенных считают, что на рынке ремонта автотранспортных сре</w:t>
      </w:r>
      <w:proofErr w:type="gramStart"/>
      <w:r w:rsidR="00173478">
        <w:rPr>
          <w:sz w:val="28"/>
          <w:szCs w:val="28"/>
        </w:rPr>
        <w:t>дств пр</w:t>
      </w:r>
      <w:proofErr w:type="gramEnd"/>
      <w:r w:rsidR="00173478">
        <w:rPr>
          <w:sz w:val="28"/>
          <w:szCs w:val="28"/>
        </w:rPr>
        <w:t>исутствует достаточное количество орган</w:t>
      </w:r>
      <w:r>
        <w:rPr>
          <w:sz w:val="28"/>
          <w:szCs w:val="28"/>
        </w:rPr>
        <w:t xml:space="preserve">изаций, еще </w:t>
      </w:r>
      <w:r w:rsidR="00E0690F" w:rsidRPr="00E0690F">
        <w:rPr>
          <w:sz w:val="28"/>
          <w:szCs w:val="28"/>
        </w:rPr>
        <w:t>34,8</w:t>
      </w:r>
      <w:r w:rsidR="00173478" w:rsidRPr="00E0690F">
        <w:rPr>
          <w:sz w:val="28"/>
          <w:szCs w:val="28"/>
        </w:rPr>
        <w:t xml:space="preserve"> % (</w:t>
      </w:r>
      <w:r w:rsidRPr="00E0690F">
        <w:rPr>
          <w:sz w:val="28"/>
          <w:szCs w:val="28"/>
        </w:rPr>
        <w:t>в 202</w:t>
      </w:r>
      <w:r w:rsidR="00E83FA1" w:rsidRPr="00E0690F">
        <w:rPr>
          <w:sz w:val="28"/>
          <w:szCs w:val="28"/>
        </w:rPr>
        <w:t>2</w:t>
      </w:r>
      <w:r w:rsidR="008337CE" w:rsidRPr="00E0690F">
        <w:rPr>
          <w:sz w:val="28"/>
          <w:szCs w:val="28"/>
        </w:rPr>
        <w:t xml:space="preserve"> году</w:t>
      </w:r>
      <w:r w:rsidR="00173478" w:rsidRPr="00E0690F">
        <w:rPr>
          <w:sz w:val="28"/>
          <w:szCs w:val="28"/>
        </w:rPr>
        <w:t xml:space="preserve"> </w:t>
      </w:r>
      <w:r w:rsidR="00E83FA1" w:rsidRPr="00E0690F">
        <w:rPr>
          <w:sz w:val="28"/>
          <w:szCs w:val="28"/>
        </w:rPr>
        <w:t>–</w:t>
      </w:r>
      <w:r w:rsidR="00173478" w:rsidRPr="00E0690F">
        <w:rPr>
          <w:sz w:val="28"/>
          <w:szCs w:val="28"/>
        </w:rPr>
        <w:t xml:space="preserve"> </w:t>
      </w:r>
      <w:r w:rsidR="00E83FA1" w:rsidRPr="00E0690F">
        <w:rPr>
          <w:sz w:val="28"/>
          <w:szCs w:val="28"/>
        </w:rPr>
        <w:t>35,2</w:t>
      </w:r>
      <w:r w:rsidR="00173478" w:rsidRPr="00E0690F">
        <w:rPr>
          <w:sz w:val="28"/>
          <w:szCs w:val="28"/>
        </w:rPr>
        <w:t xml:space="preserve"> %) заявляют о том, что присутствующего количества</w:t>
      </w:r>
      <w:r w:rsidR="00173478">
        <w:rPr>
          <w:sz w:val="28"/>
          <w:szCs w:val="28"/>
        </w:rPr>
        <w:t xml:space="preserve"> организаций на рынке недостаточно. </w:t>
      </w:r>
    </w:p>
    <w:p w:rsidR="00173478" w:rsidRDefault="00173478" w:rsidP="00173478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На рисунке 23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>, к</w:t>
      </w:r>
      <w:r>
        <w:rPr>
          <w:sz w:val="28"/>
          <w:szCs w:val="28"/>
        </w:rPr>
        <w:t xml:space="preserve">ачеству и возможности выбора на </w:t>
      </w:r>
      <w:r w:rsidRPr="00CC1FF1">
        <w:rPr>
          <w:sz w:val="28"/>
          <w:szCs w:val="28"/>
        </w:rPr>
        <w:t>рынке</w:t>
      </w:r>
      <w:r>
        <w:rPr>
          <w:sz w:val="28"/>
          <w:szCs w:val="28"/>
        </w:rPr>
        <w:t xml:space="preserve"> ремонта автотранспортных средств</w:t>
      </w:r>
      <w:r w:rsidRPr="00CC1FF1">
        <w:rPr>
          <w:sz w:val="28"/>
          <w:szCs w:val="28"/>
        </w:rPr>
        <w:t>.</w:t>
      </w:r>
    </w:p>
    <w:p w:rsidR="00173478" w:rsidRPr="00D85386" w:rsidRDefault="00173478" w:rsidP="00173478">
      <w:pPr>
        <w:jc w:val="right"/>
        <w:rPr>
          <w:sz w:val="28"/>
          <w:szCs w:val="28"/>
        </w:rPr>
      </w:pPr>
      <w:r>
        <w:rPr>
          <w:sz w:val="28"/>
          <w:szCs w:val="28"/>
        </w:rPr>
        <w:t>Рисунок 23</w:t>
      </w:r>
      <w:r w:rsidRPr="00D85386">
        <w:rPr>
          <w:sz w:val="28"/>
          <w:szCs w:val="28"/>
        </w:rPr>
        <w:t>.</w:t>
      </w:r>
    </w:p>
    <w:p w:rsidR="003701F1" w:rsidRPr="00341B6C" w:rsidRDefault="009C5F8D" w:rsidP="003701F1">
      <w:pPr>
        <w:jc w:val="both"/>
        <w:rPr>
          <w:b/>
          <w:sz w:val="28"/>
          <w:szCs w:val="28"/>
        </w:rPr>
      </w:pPr>
      <w:r w:rsidRPr="009C5F8D">
        <w:rPr>
          <w:b/>
          <w:noProof/>
          <w:sz w:val="28"/>
          <w:szCs w:val="28"/>
        </w:rPr>
        <w:drawing>
          <wp:inline distT="0" distB="0" distL="0" distR="0">
            <wp:extent cx="6115050" cy="2466975"/>
            <wp:effectExtent l="0" t="0" r="0" b="0"/>
            <wp:docPr id="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701F1" w:rsidRDefault="003701F1" w:rsidP="003701F1">
      <w:pPr>
        <w:jc w:val="both"/>
        <w:rPr>
          <w:sz w:val="28"/>
          <w:szCs w:val="28"/>
        </w:rPr>
      </w:pPr>
    </w:p>
    <w:p w:rsidR="003701F1" w:rsidRPr="00224F47" w:rsidRDefault="003701F1" w:rsidP="003701F1">
      <w:pPr>
        <w:jc w:val="both"/>
        <w:rPr>
          <w:sz w:val="28"/>
          <w:szCs w:val="28"/>
        </w:rPr>
      </w:pPr>
      <w:r w:rsidRPr="00FE67EC">
        <w:rPr>
          <w:color w:val="FF0000"/>
          <w:sz w:val="28"/>
          <w:szCs w:val="28"/>
        </w:rPr>
        <w:t xml:space="preserve">         </w:t>
      </w:r>
      <w:r w:rsidRPr="00224F47">
        <w:rPr>
          <w:sz w:val="28"/>
          <w:szCs w:val="28"/>
        </w:rPr>
        <w:t>22. Рынок услуг связи, в том числе услуг по предоставлению широкополосного доступа к информационно - телекоммуникационной сети Интернет.</w:t>
      </w:r>
    </w:p>
    <w:p w:rsidR="003701F1" w:rsidRPr="00E0690F" w:rsidRDefault="00E03F57" w:rsidP="003701F1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мнению </w:t>
      </w:r>
      <w:r w:rsidRPr="00224F47">
        <w:rPr>
          <w:sz w:val="28"/>
          <w:szCs w:val="28"/>
        </w:rPr>
        <w:t>5</w:t>
      </w:r>
      <w:r w:rsidR="00224F47" w:rsidRPr="00224F47">
        <w:rPr>
          <w:sz w:val="28"/>
          <w:szCs w:val="28"/>
        </w:rPr>
        <w:t>3</w:t>
      </w:r>
      <w:r w:rsidRPr="00224F47">
        <w:rPr>
          <w:sz w:val="28"/>
          <w:szCs w:val="28"/>
        </w:rPr>
        <w:t>,</w:t>
      </w:r>
      <w:r w:rsidR="00224F47" w:rsidRPr="00224F47">
        <w:rPr>
          <w:sz w:val="28"/>
          <w:szCs w:val="28"/>
        </w:rPr>
        <w:t>4</w:t>
      </w:r>
      <w:r w:rsidR="003701F1">
        <w:rPr>
          <w:sz w:val="28"/>
          <w:szCs w:val="28"/>
        </w:rPr>
        <w:t xml:space="preserve"> % (</w:t>
      </w:r>
      <w:r>
        <w:rPr>
          <w:sz w:val="28"/>
          <w:szCs w:val="28"/>
        </w:rPr>
        <w:t>в 202</w:t>
      </w:r>
      <w:r w:rsidR="00FE67EC">
        <w:rPr>
          <w:sz w:val="28"/>
          <w:szCs w:val="28"/>
        </w:rPr>
        <w:t>2</w:t>
      </w:r>
      <w:r w:rsidR="00830DDE">
        <w:rPr>
          <w:sz w:val="28"/>
          <w:szCs w:val="28"/>
        </w:rPr>
        <w:t xml:space="preserve"> году</w:t>
      </w:r>
      <w:r w:rsidR="003701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701F1">
        <w:rPr>
          <w:sz w:val="28"/>
          <w:szCs w:val="28"/>
        </w:rPr>
        <w:t xml:space="preserve"> </w:t>
      </w:r>
      <w:r w:rsidR="00FE67EC">
        <w:rPr>
          <w:sz w:val="28"/>
          <w:szCs w:val="28"/>
        </w:rPr>
        <w:t>51,0</w:t>
      </w:r>
      <w:r>
        <w:rPr>
          <w:sz w:val="28"/>
          <w:szCs w:val="28"/>
        </w:rPr>
        <w:t xml:space="preserve"> </w:t>
      </w:r>
      <w:r w:rsidR="003701F1">
        <w:rPr>
          <w:sz w:val="28"/>
          <w:szCs w:val="28"/>
        </w:rPr>
        <w:t>%) респондентов с</w:t>
      </w:r>
      <w:r w:rsidR="00830DDE">
        <w:rPr>
          <w:sz w:val="28"/>
          <w:szCs w:val="28"/>
        </w:rPr>
        <w:t xml:space="preserve">читают, что поставщиков данной </w:t>
      </w:r>
      <w:r w:rsidR="003701F1">
        <w:rPr>
          <w:sz w:val="28"/>
          <w:szCs w:val="28"/>
        </w:rPr>
        <w:t>услуги на предст</w:t>
      </w:r>
      <w:r>
        <w:rPr>
          <w:sz w:val="28"/>
          <w:szCs w:val="28"/>
        </w:rPr>
        <w:t xml:space="preserve">авленном рынке достаточно и </w:t>
      </w:r>
      <w:r w:rsidR="00E0690F" w:rsidRPr="00E0690F">
        <w:rPr>
          <w:sz w:val="28"/>
          <w:szCs w:val="28"/>
        </w:rPr>
        <w:t>36,8</w:t>
      </w:r>
      <w:r w:rsidR="003701F1" w:rsidRPr="00E0690F">
        <w:rPr>
          <w:sz w:val="28"/>
          <w:szCs w:val="28"/>
        </w:rPr>
        <w:t xml:space="preserve"> %  (</w:t>
      </w:r>
      <w:r w:rsidRPr="00E0690F">
        <w:rPr>
          <w:sz w:val="28"/>
          <w:szCs w:val="28"/>
        </w:rPr>
        <w:t>в 202</w:t>
      </w:r>
      <w:r w:rsidR="00FE67EC" w:rsidRPr="00E0690F">
        <w:rPr>
          <w:sz w:val="28"/>
          <w:szCs w:val="28"/>
        </w:rPr>
        <w:t>2</w:t>
      </w:r>
      <w:r w:rsidR="00830DDE" w:rsidRPr="00E0690F">
        <w:rPr>
          <w:sz w:val="28"/>
          <w:szCs w:val="28"/>
        </w:rPr>
        <w:t xml:space="preserve"> году </w:t>
      </w:r>
      <w:r w:rsidRPr="00E0690F">
        <w:rPr>
          <w:sz w:val="28"/>
          <w:szCs w:val="28"/>
        </w:rPr>
        <w:t xml:space="preserve">– </w:t>
      </w:r>
      <w:r w:rsidR="00FE67EC" w:rsidRPr="00E0690F">
        <w:rPr>
          <w:sz w:val="28"/>
          <w:szCs w:val="28"/>
        </w:rPr>
        <w:t>28,8</w:t>
      </w:r>
      <w:r w:rsidR="003701F1" w:rsidRPr="00E0690F">
        <w:rPr>
          <w:sz w:val="28"/>
          <w:szCs w:val="28"/>
        </w:rPr>
        <w:t xml:space="preserve"> %) указывают на то</w:t>
      </w:r>
      <w:r w:rsidRPr="00E0690F">
        <w:rPr>
          <w:sz w:val="28"/>
          <w:szCs w:val="28"/>
        </w:rPr>
        <w:t>,</w:t>
      </w:r>
      <w:r w:rsidR="003701F1" w:rsidRPr="00E0690F">
        <w:rPr>
          <w:sz w:val="28"/>
          <w:szCs w:val="28"/>
        </w:rPr>
        <w:t xml:space="preserve"> что их количество </w:t>
      </w:r>
      <w:r w:rsidR="002E5395" w:rsidRPr="00E0690F">
        <w:rPr>
          <w:sz w:val="28"/>
          <w:szCs w:val="28"/>
        </w:rPr>
        <w:t>мало</w:t>
      </w:r>
      <w:r w:rsidR="003701F1" w:rsidRPr="00E0690F">
        <w:rPr>
          <w:sz w:val="28"/>
          <w:szCs w:val="28"/>
        </w:rPr>
        <w:t>.</w:t>
      </w:r>
    </w:p>
    <w:p w:rsidR="003701F1" w:rsidRDefault="003701F1" w:rsidP="003701F1">
      <w:pPr>
        <w:pStyle w:val="a7"/>
        <w:ind w:left="0" w:firstLine="6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рисунке 24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>, к</w:t>
      </w:r>
      <w:r>
        <w:rPr>
          <w:sz w:val="28"/>
          <w:szCs w:val="28"/>
        </w:rPr>
        <w:t xml:space="preserve">ачеству и возможности выбора на представленном </w:t>
      </w:r>
      <w:r w:rsidRPr="00CC1FF1">
        <w:rPr>
          <w:sz w:val="28"/>
          <w:szCs w:val="28"/>
        </w:rPr>
        <w:t>рынке</w:t>
      </w:r>
      <w:r>
        <w:rPr>
          <w:sz w:val="28"/>
          <w:szCs w:val="28"/>
        </w:rPr>
        <w:t xml:space="preserve">. </w:t>
      </w:r>
    </w:p>
    <w:p w:rsidR="00746C01" w:rsidRPr="003701F1" w:rsidRDefault="003701F1" w:rsidP="003701F1">
      <w:pPr>
        <w:jc w:val="right"/>
        <w:rPr>
          <w:sz w:val="28"/>
          <w:szCs w:val="28"/>
        </w:rPr>
      </w:pPr>
      <w:r w:rsidRPr="003701F1">
        <w:rPr>
          <w:sz w:val="28"/>
          <w:szCs w:val="28"/>
        </w:rPr>
        <w:t>Рисунок 24.</w:t>
      </w:r>
    </w:p>
    <w:p w:rsidR="00746C01" w:rsidRDefault="003701F1" w:rsidP="00D5175C">
      <w:pPr>
        <w:jc w:val="both"/>
        <w:rPr>
          <w:b/>
          <w:sz w:val="28"/>
          <w:szCs w:val="28"/>
        </w:rPr>
      </w:pPr>
      <w:r w:rsidRPr="003701F1">
        <w:rPr>
          <w:b/>
          <w:noProof/>
          <w:sz w:val="28"/>
          <w:szCs w:val="28"/>
        </w:rPr>
        <w:drawing>
          <wp:inline distT="0" distB="0" distL="0" distR="0">
            <wp:extent cx="6210300" cy="2828925"/>
            <wp:effectExtent l="0" t="0" r="0" b="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25F0C" w:rsidRPr="00224F47" w:rsidRDefault="00025F0C" w:rsidP="00025F0C">
      <w:pPr>
        <w:pStyle w:val="a7"/>
        <w:jc w:val="both"/>
        <w:rPr>
          <w:sz w:val="28"/>
          <w:szCs w:val="28"/>
        </w:rPr>
      </w:pPr>
      <w:r w:rsidRPr="00224F47">
        <w:rPr>
          <w:sz w:val="28"/>
          <w:szCs w:val="28"/>
        </w:rPr>
        <w:t>23. Рынок жилищного строительства.</w:t>
      </w:r>
    </w:p>
    <w:p w:rsidR="00025F0C" w:rsidRDefault="00025F0C" w:rsidP="00025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r w:rsidR="00550BA8" w:rsidRPr="00550BA8">
        <w:rPr>
          <w:sz w:val="28"/>
          <w:szCs w:val="28"/>
        </w:rPr>
        <w:t>40,3</w:t>
      </w:r>
      <w:r>
        <w:rPr>
          <w:sz w:val="28"/>
          <w:szCs w:val="28"/>
        </w:rPr>
        <w:t xml:space="preserve"> %</w:t>
      </w:r>
      <w:r w:rsidR="002041D9">
        <w:rPr>
          <w:sz w:val="28"/>
          <w:szCs w:val="28"/>
        </w:rPr>
        <w:t xml:space="preserve"> </w:t>
      </w:r>
      <w:r w:rsidR="00B77292">
        <w:rPr>
          <w:sz w:val="28"/>
          <w:szCs w:val="28"/>
        </w:rPr>
        <w:t>(в 202</w:t>
      </w:r>
      <w:r w:rsidR="009F3A14">
        <w:rPr>
          <w:sz w:val="28"/>
          <w:szCs w:val="28"/>
        </w:rPr>
        <w:t>2</w:t>
      </w:r>
      <w:r w:rsidR="00B74BE5" w:rsidRPr="00B74BE5">
        <w:rPr>
          <w:sz w:val="28"/>
          <w:szCs w:val="28"/>
        </w:rPr>
        <w:t xml:space="preserve"> году </w:t>
      </w:r>
      <w:r w:rsidR="00B77292">
        <w:rPr>
          <w:sz w:val="28"/>
          <w:szCs w:val="28"/>
        </w:rPr>
        <w:t>–</w:t>
      </w:r>
      <w:r w:rsidR="00B74BE5" w:rsidRPr="00B74BE5">
        <w:rPr>
          <w:sz w:val="28"/>
          <w:szCs w:val="28"/>
        </w:rPr>
        <w:t xml:space="preserve"> </w:t>
      </w:r>
      <w:r w:rsidR="009F3A14">
        <w:rPr>
          <w:sz w:val="28"/>
          <w:szCs w:val="28"/>
        </w:rPr>
        <w:t>39,1</w:t>
      </w:r>
      <w:r w:rsidR="00B74BE5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опрошенных на рынке достаточно организаций, осуществляющих деятельность в сфере жилищног</w:t>
      </w:r>
      <w:r w:rsidR="002041D9">
        <w:rPr>
          <w:sz w:val="28"/>
          <w:szCs w:val="28"/>
        </w:rPr>
        <w:t xml:space="preserve">о строительства, однако </w:t>
      </w:r>
      <w:r w:rsidR="002041D9" w:rsidRPr="002041D9">
        <w:rPr>
          <w:sz w:val="28"/>
          <w:szCs w:val="28"/>
        </w:rPr>
        <w:t xml:space="preserve"> </w:t>
      </w:r>
      <w:r w:rsidR="00E0690F" w:rsidRPr="00E0690F">
        <w:rPr>
          <w:sz w:val="28"/>
          <w:szCs w:val="28"/>
        </w:rPr>
        <w:t>51,8</w:t>
      </w:r>
      <w:r w:rsidR="002041D9" w:rsidRPr="00E0690F">
        <w:rPr>
          <w:sz w:val="28"/>
          <w:szCs w:val="28"/>
        </w:rPr>
        <w:t xml:space="preserve"> %</w:t>
      </w:r>
      <w:r w:rsidR="002041D9" w:rsidRPr="002041D9">
        <w:rPr>
          <w:sz w:val="28"/>
          <w:szCs w:val="28"/>
        </w:rPr>
        <w:t xml:space="preserve"> (</w:t>
      </w:r>
      <w:r w:rsidR="00B77292">
        <w:rPr>
          <w:sz w:val="28"/>
          <w:szCs w:val="28"/>
        </w:rPr>
        <w:t>в 202</w:t>
      </w:r>
      <w:r w:rsidR="009F3A14">
        <w:rPr>
          <w:sz w:val="28"/>
          <w:szCs w:val="28"/>
        </w:rPr>
        <w:t>2</w:t>
      </w:r>
      <w:r w:rsidR="00B74BE5">
        <w:rPr>
          <w:sz w:val="28"/>
          <w:szCs w:val="28"/>
        </w:rPr>
        <w:t xml:space="preserve"> году</w:t>
      </w:r>
      <w:r w:rsidR="002041D9" w:rsidRPr="002041D9">
        <w:rPr>
          <w:sz w:val="28"/>
          <w:szCs w:val="28"/>
        </w:rPr>
        <w:t xml:space="preserve"> </w:t>
      </w:r>
      <w:r w:rsidR="00B77292">
        <w:rPr>
          <w:sz w:val="28"/>
          <w:szCs w:val="28"/>
        </w:rPr>
        <w:t>–</w:t>
      </w:r>
      <w:r w:rsidR="009F3A14">
        <w:rPr>
          <w:sz w:val="28"/>
          <w:szCs w:val="28"/>
        </w:rPr>
        <w:t>55,0</w:t>
      </w:r>
      <w:r w:rsidR="00E0690F">
        <w:rPr>
          <w:sz w:val="28"/>
          <w:szCs w:val="28"/>
        </w:rPr>
        <w:t xml:space="preserve"> </w:t>
      </w:r>
      <w:r w:rsidR="002041D9" w:rsidRPr="002041D9">
        <w:rPr>
          <w:sz w:val="28"/>
          <w:szCs w:val="28"/>
        </w:rPr>
        <w:t>%) заявляют о том, что присутствующего количества организаций на рынке недостаточно</w:t>
      </w:r>
      <w:r w:rsidR="002041D9">
        <w:rPr>
          <w:sz w:val="28"/>
          <w:szCs w:val="28"/>
        </w:rPr>
        <w:t>.</w:t>
      </w:r>
    </w:p>
    <w:p w:rsidR="00746C01" w:rsidRDefault="002041D9" w:rsidP="00D517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На рисунке 25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>, к</w:t>
      </w:r>
      <w:r>
        <w:rPr>
          <w:sz w:val="28"/>
          <w:szCs w:val="28"/>
        </w:rPr>
        <w:t xml:space="preserve">ачеству и возможности выбора на </w:t>
      </w:r>
      <w:r w:rsidR="00B77292">
        <w:rPr>
          <w:sz w:val="28"/>
          <w:szCs w:val="28"/>
        </w:rPr>
        <w:t>рынке строительства</w:t>
      </w:r>
      <w:r>
        <w:rPr>
          <w:sz w:val="28"/>
          <w:szCs w:val="28"/>
        </w:rPr>
        <w:t>.</w:t>
      </w:r>
    </w:p>
    <w:p w:rsidR="00746C01" w:rsidRPr="002041D9" w:rsidRDefault="002041D9" w:rsidP="002041D9">
      <w:pPr>
        <w:jc w:val="right"/>
        <w:rPr>
          <w:sz w:val="28"/>
          <w:szCs w:val="28"/>
        </w:rPr>
      </w:pPr>
      <w:r w:rsidRPr="002041D9">
        <w:rPr>
          <w:sz w:val="28"/>
          <w:szCs w:val="28"/>
        </w:rPr>
        <w:t>Рисунок 25.</w:t>
      </w:r>
    </w:p>
    <w:p w:rsidR="00746C01" w:rsidRDefault="002041D9" w:rsidP="00D5175C">
      <w:pPr>
        <w:jc w:val="both"/>
        <w:rPr>
          <w:b/>
          <w:sz w:val="28"/>
          <w:szCs w:val="28"/>
        </w:rPr>
      </w:pPr>
      <w:r w:rsidRPr="002041D9">
        <w:rPr>
          <w:b/>
          <w:noProof/>
          <w:sz w:val="28"/>
          <w:szCs w:val="28"/>
        </w:rPr>
        <w:drawing>
          <wp:inline distT="0" distB="0" distL="0" distR="0">
            <wp:extent cx="6210300" cy="2714625"/>
            <wp:effectExtent l="0" t="0" r="0" b="0"/>
            <wp:docPr id="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63186" w:rsidRDefault="002F49E4" w:rsidP="002F4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F49E4" w:rsidRPr="00A20B70" w:rsidRDefault="00563186" w:rsidP="002F49E4">
      <w:pPr>
        <w:jc w:val="both"/>
        <w:rPr>
          <w:sz w:val="28"/>
          <w:szCs w:val="28"/>
        </w:rPr>
      </w:pPr>
      <w:r w:rsidRPr="009D3C94">
        <w:rPr>
          <w:color w:val="FF0000"/>
          <w:sz w:val="28"/>
          <w:szCs w:val="28"/>
        </w:rPr>
        <w:t xml:space="preserve">        </w:t>
      </w:r>
      <w:r w:rsidR="002F49E4" w:rsidRPr="009D3C94">
        <w:rPr>
          <w:color w:val="FF0000"/>
          <w:sz w:val="28"/>
          <w:szCs w:val="28"/>
        </w:rPr>
        <w:t xml:space="preserve">  </w:t>
      </w:r>
      <w:r w:rsidR="002F49E4" w:rsidRPr="00A20B70">
        <w:rPr>
          <w:sz w:val="28"/>
          <w:szCs w:val="28"/>
        </w:rPr>
        <w:t>24. Рынок строительства объектов капитального строительства, за исключением жилищного и дорожного строительства.</w:t>
      </w:r>
    </w:p>
    <w:p w:rsidR="00746C01" w:rsidRDefault="00B77292" w:rsidP="002F49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0B70">
        <w:rPr>
          <w:sz w:val="28"/>
          <w:szCs w:val="28"/>
        </w:rPr>
        <w:t>3</w:t>
      </w:r>
      <w:r w:rsidR="00A20B70" w:rsidRPr="00A20B70">
        <w:rPr>
          <w:sz w:val="28"/>
          <w:szCs w:val="28"/>
        </w:rPr>
        <w:t>6</w:t>
      </w:r>
      <w:r w:rsidRPr="00A20B70">
        <w:rPr>
          <w:sz w:val="28"/>
          <w:szCs w:val="28"/>
        </w:rPr>
        <w:t>,</w:t>
      </w:r>
      <w:r w:rsidR="00A20B70" w:rsidRPr="00A20B70">
        <w:rPr>
          <w:sz w:val="28"/>
          <w:szCs w:val="28"/>
        </w:rPr>
        <w:t>4</w:t>
      </w:r>
      <w:r w:rsidR="002F49E4">
        <w:rPr>
          <w:sz w:val="28"/>
          <w:szCs w:val="28"/>
        </w:rPr>
        <w:t xml:space="preserve"> % (</w:t>
      </w:r>
      <w:r w:rsidR="009D3C94">
        <w:rPr>
          <w:sz w:val="28"/>
          <w:szCs w:val="28"/>
        </w:rPr>
        <w:t>в 2022</w:t>
      </w:r>
      <w:r w:rsidR="00563186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2F49E4">
        <w:rPr>
          <w:sz w:val="28"/>
          <w:szCs w:val="28"/>
        </w:rPr>
        <w:t xml:space="preserve"> </w:t>
      </w:r>
      <w:r w:rsidR="009D3C94">
        <w:rPr>
          <w:sz w:val="28"/>
          <w:szCs w:val="28"/>
        </w:rPr>
        <w:t>35,1</w:t>
      </w:r>
      <w:r w:rsidR="002F49E4">
        <w:rPr>
          <w:sz w:val="28"/>
          <w:szCs w:val="28"/>
        </w:rPr>
        <w:t xml:space="preserve"> %) респондентов ответили, что на данном рынке достаточно организаций, вып</w:t>
      </w:r>
      <w:r>
        <w:rPr>
          <w:sz w:val="28"/>
          <w:szCs w:val="28"/>
        </w:rPr>
        <w:t xml:space="preserve">олняющих такие виды работ,  </w:t>
      </w:r>
      <w:r w:rsidR="00E0690F" w:rsidRPr="00E0690F">
        <w:rPr>
          <w:sz w:val="28"/>
          <w:szCs w:val="28"/>
        </w:rPr>
        <w:t>52,6</w:t>
      </w:r>
      <w:r w:rsidR="002F49E4" w:rsidRPr="00E0690F">
        <w:rPr>
          <w:sz w:val="28"/>
          <w:szCs w:val="28"/>
        </w:rPr>
        <w:t xml:space="preserve"> %  (</w:t>
      </w:r>
      <w:r w:rsidR="00563186" w:rsidRPr="00E0690F">
        <w:rPr>
          <w:sz w:val="28"/>
          <w:szCs w:val="28"/>
        </w:rPr>
        <w:t>в 202</w:t>
      </w:r>
      <w:r w:rsidR="009D3C94" w:rsidRPr="00E0690F">
        <w:rPr>
          <w:sz w:val="28"/>
          <w:szCs w:val="28"/>
        </w:rPr>
        <w:t>2</w:t>
      </w:r>
      <w:r w:rsidR="00563186" w:rsidRPr="00E0690F">
        <w:rPr>
          <w:sz w:val="28"/>
          <w:szCs w:val="28"/>
        </w:rPr>
        <w:t xml:space="preserve"> году </w:t>
      </w:r>
      <w:r w:rsidRPr="00E0690F">
        <w:rPr>
          <w:sz w:val="28"/>
          <w:szCs w:val="28"/>
        </w:rPr>
        <w:t xml:space="preserve">– </w:t>
      </w:r>
      <w:r w:rsidR="009D3C94" w:rsidRPr="00E0690F">
        <w:rPr>
          <w:sz w:val="28"/>
          <w:szCs w:val="28"/>
        </w:rPr>
        <w:t>55,0</w:t>
      </w:r>
      <w:r w:rsidR="002F49E4" w:rsidRPr="00E0690F">
        <w:rPr>
          <w:sz w:val="28"/>
          <w:szCs w:val="28"/>
        </w:rPr>
        <w:t xml:space="preserve"> %) - считают, что поставщиков на данном рынке мало</w:t>
      </w:r>
      <w:r w:rsidR="002F49E4">
        <w:rPr>
          <w:sz w:val="28"/>
          <w:szCs w:val="28"/>
        </w:rPr>
        <w:t>.</w:t>
      </w:r>
      <w:r w:rsidR="002F49E4" w:rsidRPr="002F49E4">
        <w:rPr>
          <w:sz w:val="28"/>
          <w:szCs w:val="28"/>
        </w:rPr>
        <w:t xml:space="preserve"> </w:t>
      </w:r>
    </w:p>
    <w:p w:rsidR="002F49E4" w:rsidRDefault="002F49E4" w:rsidP="002F49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На рисунке 26 отражено как сложило</w:t>
      </w:r>
      <w:r w:rsidRPr="0096717F">
        <w:rPr>
          <w:sz w:val="28"/>
          <w:szCs w:val="28"/>
        </w:rPr>
        <w:t xml:space="preserve">сь мнение респондентов в отношении </w:t>
      </w:r>
      <w:r w:rsidRPr="007C5305">
        <w:rPr>
          <w:sz w:val="28"/>
          <w:szCs w:val="28"/>
        </w:rPr>
        <w:t>к ценообразованию, качеству и возможности выбора на представленном рынке.</w:t>
      </w:r>
      <w:r w:rsidR="00854FD5" w:rsidRPr="007C5305">
        <w:rPr>
          <w:sz w:val="28"/>
          <w:szCs w:val="28"/>
        </w:rPr>
        <w:t xml:space="preserve"> При этом стоит отметить, что по сравнению с прошлым годом значительно увеличилась доля респондентов удовлетворённых качеством предоставляемых услуг и возможностью выбора на представленном рынке.</w:t>
      </w:r>
    </w:p>
    <w:p w:rsidR="00746C01" w:rsidRPr="002F49E4" w:rsidRDefault="002F49E4" w:rsidP="002F49E4">
      <w:pPr>
        <w:jc w:val="right"/>
        <w:rPr>
          <w:sz w:val="28"/>
          <w:szCs w:val="28"/>
        </w:rPr>
      </w:pPr>
      <w:r w:rsidRPr="002F49E4">
        <w:rPr>
          <w:sz w:val="28"/>
          <w:szCs w:val="28"/>
        </w:rPr>
        <w:t>Рисунок 26.</w:t>
      </w:r>
    </w:p>
    <w:p w:rsidR="00746C01" w:rsidRDefault="002F49E4" w:rsidP="00D5175C">
      <w:pPr>
        <w:jc w:val="both"/>
        <w:rPr>
          <w:b/>
          <w:sz w:val="28"/>
          <w:szCs w:val="28"/>
        </w:rPr>
      </w:pPr>
      <w:r w:rsidRPr="002F49E4">
        <w:rPr>
          <w:b/>
          <w:noProof/>
          <w:sz w:val="28"/>
          <w:szCs w:val="28"/>
        </w:rPr>
        <w:drawing>
          <wp:inline distT="0" distB="0" distL="0" distR="0">
            <wp:extent cx="6210300" cy="2968505"/>
            <wp:effectExtent l="0" t="0" r="0" b="0"/>
            <wp:docPr id="3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46C01" w:rsidRPr="00A20B70" w:rsidRDefault="00C06E57" w:rsidP="00D5175C">
      <w:pPr>
        <w:jc w:val="both"/>
        <w:rPr>
          <w:sz w:val="28"/>
          <w:szCs w:val="28"/>
        </w:rPr>
      </w:pPr>
      <w:r w:rsidRPr="00A20B70">
        <w:rPr>
          <w:sz w:val="28"/>
          <w:szCs w:val="28"/>
        </w:rPr>
        <w:t xml:space="preserve">          25. Рынок дорожной деятельности (за исключением проектирования).</w:t>
      </w:r>
    </w:p>
    <w:p w:rsidR="00415640" w:rsidRDefault="00415640" w:rsidP="00D5175C">
      <w:pPr>
        <w:jc w:val="both"/>
        <w:rPr>
          <w:b/>
          <w:sz w:val="28"/>
          <w:szCs w:val="28"/>
        </w:rPr>
      </w:pPr>
      <w:r w:rsidRPr="00D73694">
        <w:rPr>
          <w:sz w:val="28"/>
          <w:szCs w:val="28"/>
        </w:rPr>
        <w:t xml:space="preserve">          Ситуация на рынке дорожной деятельности изменилась</w:t>
      </w:r>
      <w:r>
        <w:rPr>
          <w:sz w:val="28"/>
          <w:szCs w:val="28"/>
        </w:rPr>
        <w:t xml:space="preserve"> по сра</w:t>
      </w:r>
      <w:r w:rsidR="00D73694">
        <w:rPr>
          <w:sz w:val="28"/>
          <w:szCs w:val="28"/>
        </w:rPr>
        <w:t xml:space="preserve">внению с прошлым годом, так </w:t>
      </w:r>
      <w:r w:rsidR="00A20B70" w:rsidRPr="00A20B70">
        <w:rPr>
          <w:sz w:val="28"/>
          <w:szCs w:val="28"/>
        </w:rPr>
        <w:t>37,2</w:t>
      </w:r>
      <w:r w:rsidRPr="004021C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% (</w:t>
      </w:r>
      <w:r w:rsidR="00D73694">
        <w:rPr>
          <w:sz w:val="28"/>
          <w:szCs w:val="28"/>
        </w:rPr>
        <w:t>в 202</w:t>
      </w:r>
      <w:r w:rsidR="004021C1">
        <w:rPr>
          <w:sz w:val="28"/>
          <w:szCs w:val="28"/>
        </w:rPr>
        <w:t>2</w:t>
      </w:r>
      <w:r w:rsidR="00B22D0E">
        <w:rPr>
          <w:sz w:val="28"/>
          <w:szCs w:val="28"/>
        </w:rPr>
        <w:t xml:space="preserve"> году </w:t>
      </w:r>
      <w:r w:rsidR="00D7369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21C1">
        <w:rPr>
          <w:sz w:val="28"/>
          <w:szCs w:val="28"/>
        </w:rPr>
        <w:t>41,1</w:t>
      </w:r>
      <w:r>
        <w:rPr>
          <w:sz w:val="28"/>
          <w:szCs w:val="28"/>
        </w:rPr>
        <w:t xml:space="preserve"> %) респондентов считают,</w:t>
      </w:r>
      <w:r w:rsidRPr="00415640">
        <w:rPr>
          <w:sz w:val="28"/>
          <w:szCs w:val="28"/>
        </w:rPr>
        <w:t xml:space="preserve"> что на данном рынке достаточно организаций</w:t>
      </w:r>
      <w:r>
        <w:rPr>
          <w:sz w:val="28"/>
          <w:szCs w:val="28"/>
        </w:rPr>
        <w:t>.</w:t>
      </w:r>
    </w:p>
    <w:p w:rsidR="00746C01" w:rsidRDefault="00415640" w:rsidP="00415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рисунке 27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>, к</w:t>
      </w:r>
      <w:r>
        <w:rPr>
          <w:sz w:val="28"/>
          <w:szCs w:val="28"/>
        </w:rPr>
        <w:t xml:space="preserve">ачеству и возможности выбора на представленном </w:t>
      </w:r>
      <w:r w:rsidRPr="00CC1FF1">
        <w:rPr>
          <w:sz w:val="28"/>
          <w:szCs w:val="28"/>
        </w:rPr>
        <w:t>рынке</w:t>
      </w:r>
      <w:r>
        <w:rPr>
          <w:sz w:val="28"/>
          <w:szCs w:val="28"/>
        </w:rPr>
        <w:t>.</w:t>
      </w:r>
    </w:p>
    <w:p w:rsidR="00415640" w:rsidRDefault="00415640" w:rsidP="00415640">
      <w:pPr>
        <w:ind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t>Рисунок 27.</w:t>
      </w:r>
    </w:p>
    <w:p w:rsidR="00746C01" w:rsidRDefault="00415640" w:rsidP="00D5175C">
      <w:pPr>
        <w:jc w:val="both"/>
        <w:rPr>
          <w:b/>
          <w:sz w:val="28"/>
          <w:szCs w:val="28"/>
        </w:rPr>
      </w:pPr>
      <w:r w:rsidRPr="00415640">
        <w:rPr>
          <w:b/>
          <w:noProof/>
          <w:sz w:val="28"/>
          <w:szCs w:val="28"/>
        </w:rPr>
        <w:drawing>
          <wp:inline distT="0" distB="0" distL="0" distR="0">
            <wp:extent cx="6210300" cy="2705100"/>
            <wp:effectExtent l="0" t="0" r="0" b="0"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46C01" w:rsidRDefault="00746C01" w:rsidP="00D5175C">
      <w:pPr>
        <w:jc w:val="both"/>
        <w:rPr>
          <w:b/>
          <w:sz w:val="28"/>
          <w:szCs w:val="28"/>
        </w:rPr>
      </w:pPr>
    </w:p>
    <w:p w:rsidR="00A274B3" w:rsidRPr="00A20B70" w:rsidRDefault="00D73694" w:rsidP="00A274B3">
      <w:pPr>
        <w:jc w:val="both"/>
        <w:rPr>
          <w:sz w:val="28"/>
          <w:szCs w:val="28"/>
        </w:rPr>
      </w:pPr>
      <w:r w:rsidRPr="001F5E91">
        <w:rPr>
          <w:color w:val="FF0000"/>
          <w:sz w:val="28"/>
          <w:szCs w:val="28"/>
        </w:rPr>
        <w:t xml:space="preserve">        </w:t>
      </w:r>
      <w:r w:rsidR="00A274B3" w:rsidRPr="001F5E91">
        <w:rPr>
          <w:color w:val="FF0000"/>
          <w:sz w:val="28"/>
          <w:szCs w:val="28"/>
        </w:rPr>
        <w:t xml:space="preserve"> </w:t>
      </w:r>
      <w:r w:rsidR="00A274B3" w:rsidRPr="00A20B70">
        <w:rPr>
          <w:sz w:val="28"/>
          <w:szCs w:val="28"/>
        </w:rPr>
        <w:t>26. Рынок архитектурно-строительного проектирования.</w:t>
      </w:r>
    </w:p>
    <w:p w:rsidR="00A274B3" w:rsidRDefault="00D73694" w:rsidP="00A274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0B70">
        <w:rPr>
          <w:sz w:val="28"/>
          <w:szCs w:val="28"/>
        </w:rPr>
        <w:t>4</w:t>
      </w:r>
      <w:r w:rsidR="00A20B70" w:rsidRPr="00A20B70">
        <w:rPr>
          <w:sz w:val="28"/>
          <w:szCs w:val="28"/>
        </w:rPr>
        <w:t>0</w:t>
      </w:r>
      <w:r w:rsidRPr="00A20B70">
        <w:rPr>
          <w:sz w:val="28"/>
          <w:szCs w:val="28"/>
        </w:rPr>
        <w:t>,</w:t>
      </w:r>
      <w:r w:rsidR="00A20B70" w:rsidRPr="00A20B70">
        <w:rPr>
          <w:sz w:val="28"/>
          <w:szCs w:val="28"/>
        </w:rPr>
        <w:t>7</w:t>
      </w:r>
      <w:r w:rsidR="00A274B3">
        <w:rPr>
          <w:sz w:val="28"/>
          <w:szCs w:val="28"/>
        </w:rPr>
        <w:t xml:space="preserve"> % (</w:t>
      </w:r>
      <w:r>
        <w:rPr>
          <w:sz w:val="28"/>
          <w:szCs w:val="28"/>
        </w:rPr>
        <w:t>в 202</w:t>
      </w:r>
      <w:r w:rsidR="001F5E91">
        <w:rPr>
          <w:sz w:val="28"/>
          <w:szCs w:val="28"/>
        </w:rPr>
        <w:t>2</w:t>
      </w:r>
      <w:r w:rsidR="00B22D0E">
        <w:rPr>
          <w:sz w:val="28"/>
          <w:szCs w:val="28"/>
        </w:rPr>
        <w:t xml:space="preserve"> году –</w:t>
      </w:r>
      <w:r w:rsidR="00A274B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F5E91">
        <w:rPr>
          <w:sz w:val="28"/>
          <w:szCs w:val="28"/>
        </w:rPr>
        <w:t>2,1</w:t>
      </w:r>
      <w:r w:rsidR="00A274B3">
        <w:rPr>
          <w:sz w:val="28"/>
          <w:szCs w:val="28"/>
        </w:rPr>
        <w:t xml:space="preserve"> %) респондентов ответили, что на данном рынке достаточно организаций, выполняющих такие </w:t>
      </w:r>
      <w:r>
        <w:rPr>
          <w:sz w:val="28"/>
          <w:szCs w:val="28"/>
        </w:rPr>
        <w:t xml:space="preserve">виды работ,  </w:t>
      </w:r>
      <w:proofErr w:type="gramStart"/>
      <w:r>
        <w:rPr>
          <w:sz w:val="28"/>
          <w:szCs w:val="28"/>
        </w:rPr>
        <w:t>однако</w:t>
      </w:r>
      <w:proofErr w:type="gramEnd"/>
      <w:r>
        <w:rPr>
          <w:sz w:val="28"/>
          <w:szCs w:val="28"/>
        </w:rPr>
        <w:t xml:space="preserve"> как и в прошлом </w:t>
      </w:r>
      <w:r w:rsidRPr="00E0690F">
        <w:rPr>
          <w:sz w:val="28"/>
          <w:szCs w:val="28"/>
        </w:rPr>
        <w:t xml:space="preserve">году </w:t>
      </w:r>
      <w:r w:rsidR="00E0690F" w:rsidRPr="00E0690F">
        <w:rPr>
          <w:sz w:val="28"/>
          <w:szCs w:val="28"/>
        </w:rPr>
        <w:t>49,8</w:t>
      </w:r>
      <w:r w:rsidRPr="00E0690F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 (в 202</w:t>
      </w:r>
      <w:r w:rsidR="001F5E9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-48,</w:t>
      </w:r>
      <w:r w:rsidR="001F5E91">
        <w:rPr>
          <w:sz w:val="28"/>
          <w:szCs w:val="28"/>
        </w:rPr>
        <w:t>5</w:t>
      </w:r>
      <w:r w:rsidR="00A274B3">
        <w:rPr>
          <w:sz w:val="28"/>
          <w:szCs w:val="28"/>
        </w:rPr>
        <w:t xml:space="preserve"> %) - считают, что поставщиков на </w:t>
      </w:r>
      <w:r w:rsidR="00A274B3">
        <w:rPr>
          <w:sz w:val="28"/>
          <w:szCs w:val="28"/>
        </w:rPr>
        <w:lastRenderedPageBreak/>
        <w:t>данном рынке мало.</w:t>
      </w:r>
      <w:r w:rsidR="00A274B3" w:rsidRPr="002F4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рынок по сравнению с прошлым годом значительных изменений не претерпел. </w:t>
      </w:r>
    </w:p>
    <w:p w:rsidR="00C06E57" w:rsidRDefault="00A274B3" w:rsidP="00A27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рисунке 28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>, к</w:t>
      </w:r>
      <w:r>
        <w:rPr>
          <w:sz w:val="28"/>
          <w:szCs w:val="28"/>
        </w:rPr>
        <w:t xml:space="preserve">ачеству и возможности выбора на представленном </w:t>
      </w:r>
      <w:r w:rsidRPr="00CC1FF1">
        <w:rPr>
          <w:sz w:val="28"/>
          <w:szCs w:val="28"/>
        </w:rPr>
        <w:t>рынке</w:t>
      </w:r>
      <w:r>
        <w:rPr>
          <w:sz w:val="28"/>
          <w:szCs w:val="28"/>
        </w:rPr>
        <w:t>.</w:t>
      </w:r>
    </w:p>
    <w:p w:rsidR="00A274B3" w:rsidRDefault="00A274B3" w:rsidP="00A274B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Рисунок 28.</w:t>
      </w:r>
    </w:p>
    <w:p w:rsidR="00C06E57" w:rsidRDefault="00A274B3" w:rsidP="00D5175C">
      <w:pPr>
        <w:jc w:val="both"/>
        <w:rPr>
          <w:b/>
          <w:sz w:val="28"/>
          <w:szCs w:val="28"/>
        </w:rPr>
      </w:pPr>
      <w:r w:rsidRPr="00A274B3">
        <w:rPr>
          <w:b/>
          <w:noProof/>
          <w:sz w:val="28"/>
          <w:szCs w:val="28"/>
        </w:rPr>
        <w:drawing>
          <wp:inline distT="0" distB="0" distL="0" distR="0">
            <wp:extent cx="6210300" cy="2968505"/>
            <wp:effectExtent l="0" t="0" r="0" b="0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00501" w:rsidRPr="00A20B70" w:rsidRDefault="00D00501" w:rsidP="00D00501">
      <w:pPr>
        <w:jc w:val="both"/>
        <w:rPr>
          <w:sz w:val="27"/>
          <w:szCs w:val="27"/>
        </w:rPr>
      </w:pPr>
      <w:r w:rsidRPr="0006113B">
        <w:rPr>
          <w:sz w:val="27"/>
          <w:szCs w:val="27"/>
        </w:rPr>
        <w:t xml:space="preserve">          27</w:t>
      </w:r>
      <w:r w:rsidRPr="00A20B70">
        <w:rPr>
          <w:sz w:val="27"/>
          <w:szCs w:val="27"/>
        </w:rPr>
        <w:t>. Рынок кадастровых и землеустроительных работ.</w:t>
      </w:r>
    </w:p>
    <w:p w:rsidR="00C06E57" w:rsidRPr="0006113B" w:rsidRDefault="00D00501" w:rsidP="00D00501">
      <w:pPr>
        <w:jc w:val="both"/>
        <w:rPr>
          <w:b/>
          <w:sz w:val="27"/>
          <w:szCs w:val="27"/>
        </w:rPr>
      </w:pPr>
      <w:r w:rsidRPr="0006113B">
        <w:rPr>
          <w:sz w:val="27"/>
          <w:szCs w:val="27"/>
        </w:rPr>
        <w:tab/>
        <w:t>О достаточном количестве поставщиков дан</w:t>
      </w:r>
      <w:r w:rsidR="0044248C" w:rsidRPr="0006113B">
        <w:rPr>
          <w:sz w:val="27"/>
          <w:szCs w:val="27"/>
        </w:rPr>
        <w:t xml:space="preserve">ного вида услуг высказалось </w:t>
      </w:r>
      <w:r w:rsidR="0044248C" w:rsidRPr="00D93DFE">
        <w:rPr>
          <w:sz w:val="27"/>
          <w:szCs w:val="27"/>
        </w:rPr>
        <w:t>4</w:t>
      </w:r>
      <w:r w:rsidR="00D93DFE" w:rsidRPr="00D93DFE">
        <w:rPr>
          <w:sz w:val="27"/>
          <w:szCs w:val="27"/>
        </w:rPr>
        <w:t>1,9</w:t>
      </w:r>
      <w:r w:rsidRPr="0006113B">
        <w:rPr>
          <w:sz w:val="27"/>
          <w:szCs w:val="27"/>
        </w:rPr>
        <w:t xml:space="preserve"> % </w:t>
      </w:r>
      <w:r w:rsidR="0044248C" w:rsidRPr="0006113B">
        <w:rPr>
          <w:sz w:val="27"/>
          <w:szCs w:val="27"/>
        </w:rPr>
        <w:t>(в 202</w:t>
      </w:r>
      <w:r w:rsidR="00F35A2B">
        <w:rPr>
          <w:sz w:val="27"/>
          <w:szCs w:val="27"/>
        </w:rPr>
        <w:t>2</w:t>
      </w:r>
      <w:r w:rsidR="0044248C" w:rsidRPr="0006113B">
        <w:rPr>
          <w:sz w:val="27"/>
          <w:szCs w:val="27"/>
        </w:rPr>
        <w:t xml:space="preserve"> году – </w:t>
      </w:r>
      <w:r w:rsidR="00F35A2B">
        <w:rPr>
          <w:sz w:val="27"/>
          <w:szCs w:val="27"/>
        </w:rPr>
        <w:t>44,6</w:t>
      </w:r>
      <w:r w:rsidR="00B22D0E" w:rsidRPr="0006113B">
        <w:rPr>
          <w:sz w:val="27"/>
          <w:szCs w:val="27"/>
        </w:rPr>
        <w:t xml:space="preserve"> %) </w:t>
      </w:r>
      <w:r w:rsidR="0044248C" w:rsidRPr="0006113B">
        <w:rPr>
          <w:sz w:val="27"/>
          <w:szCs w:val="27"/>
        </w:rPr>
        <w:t xml:space="preserve">потребителей, однако столько же указали  на их </w:t>
      </w:r>
      <w:r w:rsidR="0044248C" w:rsidRPr="00E0690F">
        <w:rPr>
          <w:sz w:val="27"/>
          <w:szCs w:val="27"/>
        </w:rPr>
        <w:t xml:space="preserve">недостаток </w:t>
      </w:r>
      <w:r w:rsidR="00E0690F" w:rsidRPr="00E0690F">
        <w:rPr>
          <w:sz w:val="27"/>
          <w:szCs w:val="27"/>
        </w:rPr>
        <w:t>47,4</w:t>
      </w:r>
      <w:r w:rsidRPr="00E0690F">
        <w:rPr>
          <w:sz w:val="27"/>
          <w:szCs w:val="27"/>
        </w:rPr>
        <w:t xml:space="preserve"> % </w:t>
      </w:r>
      <w:r w:rsidR="0044248C" w:rsidRPr="00E0690F">
        <w:rPr>
          <w:sz w:val="27"/>
          <w:szCs w:val="27"/>
        </w:rPr>
        <w:t>(в 202</w:t>
      </w:r>
      <w:r w:rsidR="00F35A2B" w:rsidRPr="00E0690F">
        <w:rPr>
          <w:sz w:val="27"/>
          <w:szCs w:val="27"/>
        </w:rPr>
        <w:t>2</w:t>
      </w:r>
      <w:r w:rsidR="00B22D0E" w:rsidRPr="00E0690F">
        <w:rPr>
          <w:sz w:val="27"/>
          <w:szCs w:val="27"/>
        </w:rPr>
        <w:t xml:space="preserve"> году </w:t>
      </w:r>
      <w:r w:rsidR="0044248C" w:rsidRPr="00E0690F">
        <w:rPr>
          <w:sz w:val="27"/>
          <w:szCs w:val="27"/>
        </w:rPr>
        <w:t>–</w:t>
      </w:r>
      <w:r w:rsidR="00B22D0E" w:rsidRPr="00E0690F">
        <w:rPr>
          <w:sz w:val="27"/>
          <w:szCs w:val="27"/>
        </w:rPr>
        <w:t xml:space="preserve"> </w:t>
      </w:r>
      <w:r w:rsidR="00F35A2B" w:rsidRPr="00E0690F">
        <w:rPr>
          <w:sz w:val="27"/>
          <w:szCs w:val="27"/>
        </w:rPr>
        <w:t>44,6</w:t>
      </w:r>
      <w:r w:rsidR="00B22D0E" w:rsidRPr="00E0690F">
        <w:rPr>
          <w:sz w:val="27"/>
          <w:szCs w:val="27"/>
        </w:rPr>
        <w:t xml:space="preserve"> %)</w:t>
      </w:r>
      <w:r w:rsidRPr="00E0690F">
        <w:rPr>
          <w:sz w:val="27"/>
          <w:szCs w:val="27"/>
        </w:rPr>
        <w:t>.</w:t>
      </w:r>
      <w:r w:rsidR="0006113B" w:rsidRPr="00E0690F">
        <w:rPr>
          <w:sz w:val="27"/>
          <w:szCs w:val="27"/>
        </w:rPr>
        <w:t xml:space="preserve"> </w:t>
      </w:r>
      <w:r w:rsidR="00D93DFE" w:rsidRPr="00E0690F">
        <w:rPr>
          <w:sz w:val="27"/>
          <w:szCs w:val="27"/>
        </w:rPr>
        <w:t>П</w:t>
      </w:r>
      <w:r w:rsidR="0006113B" w:rsidRPr="00E0690F">
        <w:rPr>
          <w:sz w:val="27"/>
          <w:szCs w:val="27"/>
        </w:rPr>
        <w:t>о сравнению с прошлым годом доля респондентов удовлетворённых</w:t>
      </w:r>
      <w:r w:rsidR="0006113B" w:rsidRPr="0006113B">
        <w:rPr>
          <w:sz w:val="27"/>
          <w:szCs w:val="27"/>
        </w:rPr>
        <w:t xml:space="preserve"> уровнем цен, качеством предоставляемых услуг и возможностью выбора на представленном рынке</w:t>
      </w:r>
      <w:r w:rsidR="00D93DFE">
        <w:rPr>
          <w:sz w:val="27"/>
          <w:szCs w:val="27"/>
        </w:rPr>
        <w:t xml:space="preserve"> не изменилась</w:t>
      </w:r>
      <w:r w:rsidR="0006113B" w:rsidRPr="0006113B">
        <w:rPr>
          <w:sz w:val="27"/>
          <w:szCs w:val="27"/>
        </w:rPr>
        <w:t>.</w:t>
      </w:r>
    </w:p>
    <w:p w:rsidR="00D00501" w:rsidRPr="0006113B" w:rsidRDefault="00D00501" w:rsidP="00D00501">
      <w:pPr>
        <w:jc w:val="both"/>
        <w:rPr>
          <w:sz w:val="27"/>
          <w:szCs w:val="27"/>
        </w:rPr>
      </w:pPr>
      <w:r w:rsidRPr="0006113B">
        <w:rPr>
          <w:sz w:val="27"/>
          <w:szCs w:val="27"/>
        </w:rPr>
        <w:t xml:space="preserve">           На рисунке 29 отражено как сложилось мнение респондентов в отношении к ценообразованию, качеству и возможности выбора на представленном рынке.</w:t>
      </w:r>
    </w:p>
    <w:p w:rsidR="00D00501" w:rsidRPr="0006113B" w:rsidRDefault="00D00501" w:rsidP="00D00501">
      <w:pPr>
        <w:jc w:val="right"/>
        <w:rPr>
          <w:sz w:val="27"/>
          <w:szCs w:val="27"/>
        </w:rPr>
      </w:pPr>
      <w:r w:rsidRPr="0006113B">
        <w:rPr>
          <w:sz w:val="27"/>
          <w:szCs w:val="27"/>
        </w:rPr>
        <w:t>Рисунок 29.</w:t>
      </w:r>
    </w:p>
    <w:p w:rsidR="00C06E57" w:rsidRDefault="00D00501" w:rsidP="00D5175C">
      <w:pPr>
        <w:jc w:val="both"/>
        <w:rPr>
          <w:b/>
          <w:sz w:val="28"/>
          <w:szCs w:val="28"/>
        </w:rPr>
      </w:pPr>
      <w:r w:rsidRPr="00D00501">
        <w:rPr>
          <w:b/>
          <w:noProof/>
          <w:sz w:val="28"/>
          <w:szCs w:val="28"/>
        </w:rPr>
        <w:drawing>
          <wp:inline distT="0" distB="0" distL="0" distR="0">
            <wp:extent cx="6210300" cy="2514600"/>
            <wp:effectExtent l="0" t="0" r="0" b="0"/>
            <wp:docPr id="4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F4974" w:rsidRDefault="00D00501" w:rsidP="00D5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F4974" w:rsidRDefault="00DF4974" w:rsidP="00D5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501">
        <w:rPr>
          <w:sz w:val="28"/>
          <w:szCs w:val="28"/>
        </w:rPr>
        <w:t xml:space="preserve">   </w:t>
      </w:r>
    </w:p>
    <w:p w:rsidR="00C06E57" w:rsidRPr="00D93DFE" w:rsidRDefault="00D00501" w:rsidP="00D5175C">
      <w:pPr>
        <w:jc w:val="both"/>
        <w:rPr>
          <w:sz w:val="28"/>
          <w:szCs w:val="28"/>
        </w:rPr>
      </w:pPr>
      <w:r w:rsidRPr="00D93DFE">
        <w:rPr>
          <w:sz w:val="28"/>
          <w:szCs w:val="28"/>
        </w:rPr>
        <w:t xml:space="preserve"> </w:t>
      </w:r>
      <w:r w:rsidR="00DF4974" w:rsidRPr="00D93DFE">
        <w:rPr>
          <w:sz w:val="28"/>
          <w:szCs w:val="28"/>
        </w:rPr>
        <w:t xml:space="preserve">        </w:t>
      </w:r>
      <w:r w:rsidRPr="00D93DFE">
        <w:rPr>
          <w:sz w:val="28"/>
          <w:szCs w:val="28"/>
        </w:rPr>
        <w:t>28. Рынок реализации сельскохозяйственной продукции.</w:t>
      </w:r>
    </w:p>
    <w:p w:rsidR="00FA098F" w:rsidRPr="00E0690F" w:rsidRDefault="00C84B53" w:rsidP="00FA098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FA098F" w:rsidRPr="009155A0">
        <w:rPr>
          <w:sz w:val="28"/>
          <w:szCs w:val="28"/>
        </w:rPr>
        <w:t>остаточно развитым</w:t>
      </w:r>
      <w:r w:rsidR="00FA098F">
        <w:rPr>
          <w:sz w:val="28"/>
          <w:szCs w:val="28"/>
        </w:rPr>
        <w:t xml:space="preserve"> рынок реализации </w:t>
      </w:r>
      <w:r w:rsidR="00FA098F" w:rsidRPr="00143BE0">
        <w:rPr>
          <w:sz w:val="28"/>
          <w:szCs w:val="28"/>
        </w:rPr>
        <w:t xml:space="preserve">сельскохозяйственной продукции посчитали </w:t>
      </w:r>
      <w:r w:rsidR="00752250" w:rsidRPr="00D93DFE">
        <w:rPr>
          <w:sz w:val="28"/>
          <w:szCs w:val="28"/>
        </w:rPr>
        <w:t>5</w:t>
      </w:r>
      <w:r w:rsidR="00D93DFE" w:rsidRPr="00D93DFE">
        <w:rPr>
          <w:sz w:val="28"/>
          <w:szCs w:val="28"/>
        </w:rPr>
        <w:t>2</w:t>
      </w:r>
      <w:r w:rsidR="00752250" w:rsidRPr="00D93DFE">
        <w:rPr>
          <w:sz w:val="28"/>
          <w:szCs w:val="28"/>
        </w:rPr>
        <w:t>,</w:t>
      </w:r>
      <w:r w:rsidR="00D93DFE" w:rsidRPr="00D93DFE">
        <w:rPr>
          <w:sz w:val="28"/>
          <w:szCs w:val="28"/>
        </w:rPr>
        <w:t>6</w:t>
      </w:r>
      <w:r w:rsidR="00FA098F">
        <w:rPr>
          <w:sz w:val="28"/>
          <w:szCs w:val="28"/>
        </w:rPr>
        <w:t xml:space="preserve"> %</w:t>
      </w:r>
      <w:r w:rsidR="00752250">
        <w:rPr>
          <w:sz w:val="28"/>
          <w:szCs w:val="28"/>
        </w:rPr>
        <w:t xml:space="preserve"> (в 202</w:t>
      </w:r>
      <w:r w:rsidR="00F35A2B">
        <w:rPr>
          <w:sz w:val="28"/>
          <w:szCs w:val="28"/>
        </w:rPr>
        <w:t>2</w:t>
      </w:r>
      <w:r w:rsidR="00752250">
        <w:rPr>
          <w:sz w:val="28"/>
          <w:szCs w:val="28"/>
        </w:rPr>
        <w:t xml:space="preserve"> году – 5</w:t>
      </w:r>
      <w:r w:rsidR="00F35A2B">
        <w:rPr>
          <w:sz w:val="28"/>
          <w:szCs w:val="28"/>
        </w:rPr>
        <w:t>0</w:t>
      </w:r>
      <w:r w:rsidR="00752250">
        <w:rPr>
          <w:sz w:val="28"/>
          <w:szCs w:val="28"/>
        </w:rPr>
        <w:t>,5</w:t>
      </w:r>
      <w:r>
        <w:rPr>
          <w:sz w:val="28"/>
          <w:szCs w:val="28"/>
        </w:rPr>
        <w:t xml:space="preserve"> %)  </w:t>
      </w:r>
      <w:r w:rsidR="00752250">
        <w:rPr>
          <w:sz w:val="28"/>
          <w:szCs w:val="28"/>
        </w:rPr>
        <w:t xml:space="preserve"> </w:t>
      </w:r>
      <w:r w:rsidR="00752250" w:rsidRPr="00E0690F">
        <w:rPr>
          <w:sz w:val="28"/>
          <w:szCs w:val="28"/>
        </w:rPr>
        <w:t>опрошенных, 38,</w:t>
      </w:r>
      <w:r w:rsidR="00E0690F" w:rsidRPr="00E0690F">
        <w:rPr>
          <w:sz w:val="28"/>
          <w:szCs w:val="28"/>
        </w:rPr>
        <w:t xml:space="preserve">3 </w:t>
      </w:r>
      <w:r w:rsidR="00FA098F" w:rsidRPr="00E0690F">
        <w:rPr>
          <w:sz w:val="28"/>
          <w:szCs w:val="28"/>
        </w:rPr>
        <w:t xml:space="preserve">% </w:t>
      </w:r>
      <w:r w:rsidRPr="00E0690F">
        <w:rPr>
          <w:sz w:val="28"/>
          <w:szCs w:val="28"/>
        </w:rPr>
        <w:t xml:space="preserve"> </w:t>
      </w:r>
      <w:r w:rsidR="00752250" w:rsidRPr="00E0690F">
        <w:rPr>
          <w:sz w:val="28"/>
          <w:szCs w:val="28"/>
        </w:rPr>
        <w:t>(в 202</w:t>
      </w:r>
      <w:r w:rsidR="00F35A2B" w:rsidRPr="00E0690F">
        <w:rPr>
          <w:sz w:val="28"/>
          <w:szCs w:val="28"/>
        </w:rPr>
        <w:t>2</w:t>
      </w:r>
      <w:r w:rsidRPr="00E0690F">
        <w:rPr>
          <w:sz w:val="28"/>
          <w:szCs w:val="28"/>
        </w:rPr>
        <w:t xml:space="preserve"> году – </w:t>
      </w:r>
      <w:r w:rsidR="00F35A2B" w:rsidRPr="00E0690F">
        <w:rPr>
          <w:sz w:val="28"/>
          <w:szCs w:val="28"/>
        </w:rPr>
        <w:lastRenderedPageBreak/>
        <w:t>38</w:t>
      </w:r>
      <w:r w:rsidR="00752250" w:rsidRPr="00E0690F">
        <w:rPr>
          <w:sz w:val="28"/>
          <w:szCs w:val="28"/>
        </w:rPr>
        <w:t>,1</w:t>
      </w:r>
      <w:r w:rsidRPr="00E0690F">
        <w:rPr>
          <w:sz w:val="28"/>
          <w:szCs w:val="28"/>
        </w:rPr>
        <w:t xml:space="preserve"> %) </w:t>
      </w:r>
      <w:r w:rsidR="00FA098F" w:rsidRPr="00E0690F">
        <w:rPr>
          <w:sz w:val="28"/>
          <w:szCs w:val="28"/>
        </w:rPr>
        <w:t>считают, что таки</w:t>
      </w:r>
      <w:r w:rsidR="00752250" w:rsidRPr="00E0690F">
        <w:rPr>
          <w:sz w:val="28"/>
          <w:szCs w:val="28"/>
        </w:rPr>
        <w:t xml:space="preserve">х организаций недостаточно,  </w:t>
      </w:r>
      <w:r w:rsidR="00E0690F" w:rsidRPr="00E0690F">
        <w:rPr>
          <w:sz w:val="28"/>
          <w:szCs w:val="28"/>
        </w:rPr>
        <w:t>9,1</w:t>
      </w:r>
      <w:r w:rsidR="00FA098F" w:rsidRPr="00E0690F">
        <w:rPr>
          <w:sz w:val="28"/>
          <w:szCs w:val="28"/>
        </w:rPr>
        <w:t xml:space="preserve"> % </w:t>
      </w:r>
      <w:r w:rsidR="00752250" w:rsidRPr="00E0690F">
        <w:rPr>
          <w:sz w:val="28"/>
          <w:szCs w:val="28"/>
        </w:rPr>
        <w:t>(в 202</w:t>
      </w:r>
      <w:r w:rsidR="00F35A2B" w:rsidRPr="00E0690F">
        <w:rPr>
          <w:sz w:val="28"/>
          <w:szCs w:val="28"/>
        </w:rPr>
        <w:t>2</w:t>
      </w:r>
      <w:r w:rsidRPr="00E0690F">
        <w:rPr>
          <w:sz w:val="28"/>
          <w:szCs w:val="28"/>
        </w:rPr>
        <w:t xml:space="preserve"> году </w:t>
      </w:r>
      <w:r w:rsidR="00752250" w:rsidRPr="00E0690F">
        <w:rPr>
          <w:sz w:val="28"/>
          <w:szCs w:val="28"/>
        </w:rPr>
        <w:t>–</w:t>
      </w:r>
      <w:r w:rsidRPr="00E0690F">
        <w:rPr>
          <w:sz w:val="28"/>
          <w:szCs w:val="28"/>
        </w:rPr>
        <w:t xml:space="preserve"> </w:t>
      </w:r>
      <w:r w:rsidR="00F35A2B" w:rsidRPr="00E0690F">
        <w:rPr>
          <w:sz w:val="28"/>
          <w:szCs w:val="28"/>
        </w:rPr>
        <w:t>11,4</w:t>
      </w:r>
      <w:r w:rsidR="00752250" w:rsidRPr="00E0690F">
        <w:rPr>
          <w:sz w:val="28"/>
          <w:szCs w:val="28"/>
        </w:rPr>
        <w:t xml:space="preserve"> %) </w:t>
      </w:r>
      <w:r w:rsidR="00FA098F" w:rsidRPr="00E0690F">
        <w:rPr>
          <w:sz w:val="28"/>
          <w:szCs w:val="28"/>
        </w:rPr>
        <w:t>опрошенных затруднились с ответом.</w:t>
      </w:r>
      <w:proofErr w:type="gramEnd"/>
    </w:p>
    <w:p w:rsidR="00FA098F" w:rsidRDefault="00FA098F" w:rsidP="00D517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На рисунке 30 отражено как сложило</w:t>
      </w:r>
      <w:r w:rsidRPr="0096717F">
        <w:rPr>
          <w:sz w:val="28"/>
          <w:szCs w:val="28"/>
        </w:rPr>
        <w:t>сь мнение респондентов в отношении к ценообразованию</w:t>
      </w:r>
      <w:r w:rsidRPr="00CC1FF1">
        <w:rPr>
          <w:sz w:val="28"/>
          <w:szCs w:val="28"/>
        </w:rPr>
        <w:t>, к</w:t>
      </w:r>
      <w:r>
        <w:rPr>
          <w:sz w:val="28"/>
          <w:szCs w:val="28"/>
        </w:rPr>
        <w:t xml:space="preserve">ачеству и возможности выбора на </w:t>
      </w:r>
      <w:r w:rsidRPr="00CC1FF1">
        <w:rPr>
          <w:sz w:val="28"/>
          <w:szCs w:val="28"/>
        </w:rPr>
        <w:t>рынке</w:t>
      </w:r>
      <w:r w:rsidRPr="00FA098F">
        <w:rPr>
          <w:sz w:val="28"/>
          <w:szCs w:val="28"/>
        </w:rPr>
        <w:t xml:space="preserve"> реализации сельскохозяйственной продукции</w:t>
      </w:r>
      <w:r>
        <w:rPr>
          <w:sz w:val="28"/>
          <w:szCs w:val="28"/>
        </w:rPr>
        <w:t>.</w:t>
      </w:r>
      <w:r w:rsidR="00497159" w:rsidRPr="00497159">
        <w:rPr>
          <w:sz w:val="28"/>
          <w:szCs w:val="28"/>
        </w:rPr>
        <w:t xml:space="preserve"> </w:t>
      </w:r>
      <w:r w:rsidR="00497159">
        <w:rPr>
          <w:sz w:val="28"/>
          <w:szCs w:val="28"/>
        </w:rPr>
        <w:t xml:space="preserve"> </w:t>
      </w:r>
      <w:r w:rsidR="00497159" w:rsidRPr="00752250">
        <w:rPr>
          <w:sz w:val="28"/>
          <w:szCs w:val="28"/>
        </w:rPr>
        <w:t>Стоит отметить, что по сравнению с прошлым годом значительно увеличилась доля респондентов удовлетворённых возможностью выбора на представленном рынке.</w:t>
      </w:r>
    </w:p>
    <w:p w:rsidR="00FE6B7F" w:rsidRPr="00FE6B7F" w:rsidRDefault="00FE6B7F" w:rsidP="00D5175C">
      <w:pPr>
        <w:jc w:val="both"/>
        <w:rPr>
          <w:b/>
          <w:sz w:val="28"/>
          <w:szCs w:val="28"/>
        </w:rPr>
      </w:pPr>
    </w:p>
    <w:p w:rsidR="00FA098F" w:rsidRDefault="00FA098F" w:rsidP="00FA098F">
      <w:pPr>
        <w:jc w:val="right"/>
        <w:rPr>
          <w:sz w:val="28"/>
          <w:szCs w:val="28"/>
        </w:rPr>
      </w:pPr>
      <w:r>
        <w:rPr>
          <w:sz w:val="28"/>
          <w:szCs w:val="28"/>
        </w:rPr>
        <w:t>Рисунок 30.</w:t>
      </w:r>
    </w:p>
    <w:p w:rsidR="00DF4974" w:rsidRDefault="00DF4974" w:rsidP="00FA098F">
      <w:pPr>
        <w:jc w:val="right"/>
        <w:rPr>
          <w:b/>
          <w:sz w:val="28"/>
          <w:szCs w:val="28"/>
        </w:rPr>
      </w:pPr>
    </w:p>
    <w:p w:rsidR="00C06E57" w:rsidRDefault="00FA098F" w:rsidP="00D5175C">
      <w:pPr>
        <w:jc w:val="both"/>
        <w:rPr>
          <w:b/>
          <w:sz w:val="28"/>
          <w:szCs w:val="28"/>
        </w:rPr>
      </w:pPr>
      <w:r w:rsidRPr="00FA098F">
        <w:rPr>
          <w:b/>
          <w:noProof/>
          <w:sz w:val="28"/>
          <w:szCs w:val="28"/>
        </w:rPr>
        <w:drawing>
          <wp:inline distT="0" distB="0" distL="0" distR="0">
            <wp:extent cx="6210300" cy="2524125"/>
            <wp:effectExtent l="0" t="0" r="0" b="0"/>
            <wp:docPr id="4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A098F" w:rsidRPr="00D93DFE" w:rsidRDefault="00FA098F" w:rsidP="00FA098F">
      <w:pPr>
        <w:ind w:firstLine="708"/>
        <w:jc w:val="both"/>
        <w:rPr>
          <w:sz w:val="28"/>
          <w:szCs w:val="28"/>
        </w:rPr>
      </w:pPr>
      <w:r w:rsidRPr="00D93DFE">
        <w:rPr>
          <w:sz w:val="28"/>
          <w:szCs w:val="28"/>
        </w:rPr>
        <w:t>29. Рынок лабораторных исследований для выдачи ветеринарных сопроводительных документов.</w:t>
      </w:r>
    </w:p>
    <w:p w:rsidR="00DF4974" w:rsidRPr="00DF4974" w:rsidRDefault="00D93DFE" w:rsidP="00DF4974">
      <w:pPr>
        <w:shd w:val="clear" w:color="auto" w:fill="FFFFFF"/>
        <w:ind w:firstLine="709"/>
        <w:jc w:val="both"/>
        <w:rPr>
          <w:sz w:val="28"/>
          <w:szCs w:val="28"/>
        </w:rPr>
      </w:pPr>
      <w:r w:rsidRPr="00D93DFE">
        <w:rPr>
          <w:sz w:val="28"/>
          <w:szCs w:val="28"/>
        </w:rPr>
        <w:t>К</w:t>
      </w:r>
      <w:r w:rsidR="00DF4974" w:rsidRPr="00D93DFE">
        <w:rPr>
          <w:sz w:val="28"/>
          <w:szCs w:val="28"/>
        </w:rPr>
        <w:t xml:space="preserve">оличество опрошенных </w:t>
      </w:r>
      <w:proofErr w:type="gramStart"/>
      <w:r w:rsidR="00DF4974" w:rsidRPr="00D93DFE">
        <w:rPr>
          <w:sz w:val="28"/>
          <w:szCs w:val="28"/>
        </w:rPr>
        <w:t>потребителей</w:t>
      </w:r>
      <w:proofErr w:type="gramEnd"/>
      <w:r w:rsidR="00DF4974" w:rsidRPr="00D93DFE">
        <w:rPr>
          <w:sz w:val="28"/>
          <w:szCs w:val="28"/>
        </w:rPr>
        <w:t xml:space="preserve"> которые считают, что рынок услуг лабораторных исследований для выдачи ветеринарных сопроводительных документов округа развит и количество организаций, оказывающих данную услугу представлен в достаточном количестве</w:t>
      </w:r>
      <w:r w:rsidRPr="00D93DFE">
        <w:rPr>
          <w:sz w:val="28"/>
          <w:szCs w:val="28"/>
        </w:rPr>
        <w:t xml:space="preserve">  </w:t>
      </w:r>
      <w:r w:rsidR="00752250" w:rsidRPr="00D93DFE">
        <w:rPr>
          <w:sz w:val="28"/>
          <w:szCs w:val="28"/>
        </w:rPr>
        <w:t>3</w:t>
      </w:r>
      <w:r>
        <w:rPr>
          <w:sz w:val="28"/>
          <w:szCs w:val="28"/>
        </w:rPr>
        <w:t>4,8</w:t>
      </w:r>
      <w:r w:rsidR="00752250">
        <w:rPr>
          <w:sz w:val="28"/>
          <w:szCs w:val="28"/>
        </w:rPr>
        <w:t xml:space="preserve"> %  (в 202</w:t>
      </w:r>
      <w:r w:rsidR="00CE0F6A">
        <w:rPr>
          <w:sz w:val="28"/>
          <w:szCs w:val="28"/>
        </w:rPr>
        <w:t>2</w:t>
      </w:r>
      <w:r w:rsidR="00DF4974" w:rsidRPr="00DF4974">
        <w:rPr>
          <w:sz w:val="28"/>
          <w:szCs w:val="28"/>
        </w:rPr>
        <w:t xml:space="preserve"> году </w:t>
      </w:r>
      <w:r w:rsidR="00752250">
        <w:rPr>
          <w:sz w:val="28"/>
          <w:szCs w:val="28"/>
        </w:rPr>
        <w:t xml:space="preserve">– </w:t>
      </w:r>
      <w:r w:rsidR="00CE0F6A">
        <w:rPr>
          <w:sz w:val="28"/>
          <w:szCs w:val="28"/>
        </w:rPr>
        <w:t>39,6</w:t>
      </w:r>
      <w:r w:rsidR="00DF4974" w:rsidRPr="00DF4974">
        <w:rPr>
          <w:sz w:val="28"/>
          <w:szCs w:val="28"/>
        </w:rPr>
        <w:t xml:space="preserve"> %). </w:t>
      </w:r>
    </w:p>
    <w:p w:rsidR="00DF4974" w:rsidRPr="00DF4974" w:rsidRDefault="00DF4974" w:rsidP="00DF4974">
      <w:pPr>
        <w:shd w:val="clear" w:color="auto" w:fill="FFFFFF"/>
        <w:ind w:firstLine="709"/>
        <w:jc w:val="both"/>
        <w:rPr>
          <w:sz w:val="28"/>
          <w:szCs w:val="28"/>
        </w:rPr>
      </w:pPr>
      <w:r w:rsidRPr="00DF4974">
        <w:rPr>
          <w:sz w:val="28"/>
          <w:szCs w:val="28"/>
        </w:rPr>
        <w:t>На рисунке 31</w:t>
      </w:r>
      <w:r w:rsidR="0067388F">
        <w:rPr>
          <w:sz w:val="28"/>
          <w:szCs w:val="28"/>
        </w:rPr>
        <w:t xml:space="preserve"> отражено как сложило</w:t>
      </w:r>
      <w:r w:rsidRPr="00DF4974">
        <w:rPr>
          <w:sz w:val="28"/>
          <w:szCs w:val="28"/>
        </w:rPr>
        <w:t xml:space="preserve">сь мнение респондентов в отношении к ценообразованию, качеству и возможности выбора на рынке лабораторных исследований для выдачи ветеринарных сопроводительных документов по </w:t>
      </w:r>
      <w:r w:rsidRPr="00CB4403">
        <w:rPr>
          <w:sz w:val="28"/>
          <w:szCs w:val="28"/>
        </w:rPr>
        <w:t xml:space="preserve">сравнению с прошлым годом в процентном соотношении. </w:t>
      </w:r>
    </w:p>
    <w:p w:rsidR="00DF4974" w:rsidRPr="00DF4974" w:rsidRDefault="00DF4974" w:rsidP="00DF4974">
      <w:pPr>
        <w:shd w:val="clear" w:color="auto" w:fill="FFFFFF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Рисунок 31.</w:t>
      </w:r>
    </w:p>
    <w:p w:rsidR="00C06E57" w:rsidRDefault="00DF4974" w:rsidP="00D5175C">
      <w:pPr>
        <w:jc w:val="both"/>
        <w:rPr>
          <w:b/>
          <w:sz w:val="28"/>
          <w:szCs w:val="28"/>
        </w:rPr>
      </w:pPr>
      <w:r w:rsidRPr="00DF4974">
        <w:rPr>
          <w:b/>
          <w:noProof/>
          <w:sz w:val="28"/>
          <w:szCs w:val="28"/>
        </w:rPr>
        <w:drawing>
          <wp:inline distT="0" distB="0" distL="0" distR="0">
            <wp:extent cx="6210300" cy="2295525"/>
            <wp:effectExtent l="0" t="0" r="0" b="0"/>
            <wp:docPr id="4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0690F" w:rsidRDefault="00E0690F" w:rsidP="0067388F">
      <w:pPr>
        <w:ind w:firstLine="708"/>
        <w:jc w:val="both"/>
        <w:rPr>
          <w:sz w:val="28"/>
          <w:szCs w:val="28"/>
        </w:rPr>
      </w:pPr>
    </w:p>
    <w:p w:rsidR="00E0690F" w:rsidRDefault="00E0690F" w:rsidP="0067388F">
      <w:pPr>
        <w:ind w:firstLine="708"/>
        <w:jc w:val="both"/>
        <w:rPr>
          <w:sz w:val="28"/>
          <w:szCs w:val="28"/>
        </w:rPr>
      </w:pPr>
    </w:p>
    <w:p w:rsidR="0067388F" w:rsidRPr="00D93DFE" w:rsidRDefault="0067388F" w:rsidP="0067388F">
      <w:pPr>
        <w:ind w:firstLine="708"/>
        <w:jc w:val="both"/>
        <w:rPr>
          <w:sz w:val="28"/>
          <w:szCs w:val="28"/>
        </w:rPr>
      </w:pPr>
      <w:r w:rsidRPr="00D93DFE">
        <w:rPr>
          <w:sz w:val="28"/>
          <w:szCs w:val="28"/>
        </w:rPr>
        <w:lastRenderedPageBreak/>
        <w:t>30. Рынок племенного животноводства.</w:t>
      </w:r>
    </w:p>
    <w:p w:rsidR="0067388F" w:rsidRDefault="00E0690F" w:rsidP="006738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и в прошлом году</w:t>
      </w:r>
      <w:r w:rsidR="0067388F">
        <w:rPr>
          <w:sz w:val="28"/>
          <w:szCs w:val="28"/>
        </w:rPr>
        <w:t xml:space="preserve"> у </w:t>
      </w:r>
      <w:r w:rsidR="00F5081F">
        <w:rPr>
          <w:sz w:val="28"/>
          <w:szCs w:val="28"/>
        </w:rPr>
        <w:t xml:space="preserve">многих </w:t>
      </w:r>
      <w:r w:rsidR="0067388F">
        <w:rPr>
          <w:sz w:val="28"/>
          <w:szCs w:val="28"/>
        </w:rPr>
        <w:t>потребителей  возникли трудности с оценкой состояния рынк</w:t>
      </w:r>
      <w:r w:rsidR="00F5081F">
        <w:rPr>
          <w:sz w:val="28"/>
          <w:szCs w:val="28"/>
        </w:rPr>
        <w:t xml:space="preserve">а племенного животноводства, так </w:t>
      </w:r>
      <w:r w:rsidR="00F5081F" w:rsidRPr="00E0690F">
        <w:rPr>
          <w:sz w:val="28"/>
          <w:szCs w:val="28"/>
        </w:rPr>
        <w:t>13,</w:t>
      </w:r>
      <w:r w:rsidRPr="00E0690F">
        <w:rPr>
          <w:sz w:val="28"/>
          <w:szCs w:val="28"/>
        </w:rPr>
        <w:t>5</w:t>
      </w:r>
      <w:r w:rsidR="00F5081F">
        <w:rPr>
          <w:sz w:val="28"/>
          <w:szCs w:val="28"/>
        </w:rPr>
        <w:t xml:space="preserve"> </w:t>
      </w:r>
      <w:r w:rsidR="0067388F">
        <w:rPr>
          <w:sz w:val="28"/>
          <w:szCs w:val="28"/>
        </w:rPr>
        <w:t>% (</w:t>
      </w:r>
      <w:r w:rsidR="00FE6B7F">
        <w:rPr>
          <w:sz w:val="28"/>
          <w:szCs w:val="28"/>
        </w:rPr>
        <w:t xml:space="preserve">в </w:t>
      </w:r>
      <w:r w:rsidR="00F5081F">
        <w:rPr>
          <w:sz w:val="28"/>
          <w:szCs w:val="28"/>
        </w:rPr>
        <w:t>202</w:t>
      </w:r>
      <w:r w:rsidR="00143773">
        <w:rPr>
          <w:sz w:val="28"/>
          <w:szCs w:val="28"/>
        </w:rPr>
        <w:t>2</w:t>
      </w:r>
      <w:r w:rsidR="0067388F">
        <w:rPr>
          <w:sz w:val="28"/>
          <w:szCs w:val="28"/>
        </w:rPr>
        <w:t xml:space="preserve"> г</w:t>
      </w:r>
      <w:r w:rsidR="00FE6B7F">
        <w:rPr>
          <w:sz w:val="28"/>
          <w:szCs w:val="28"/>
        </w:rPr>
        <w:t xml:space="preserve">оду </w:t>
      </w:r>
      <w:r w:rsidR="00F5081F">
        <w:rPr>
          <w:sz w:val="28"/>
          <w:szCs w:val="28"/>
        </w:rPr>
        <w:t xml:space="preserve">– </w:t>
      </w:r>
      <w:r w:rsidR="00143773">
        <w:rPr>
          <w:sz w:val="28"/>
          <w:szCs w:val="28"/>
        </w:rPr>
        <w:t>13,9</w:t>
      </w:r>
      <w:r w:rsidR="0067388F">
        <w:rPr>
          <w:sz w:val="28"/>
          <w:szCs w:val="28"/>
        </w:rPr>
        <w:t xml:space="preserve"> %) опрошенных затруднились ответить на вопрос о количестве организаций, предоставляющих</w:t>
      </w:r>
      <w:r w:rsidR="00F5081F">
        <w:rPr>
          <w:sz w:val="28"/>
          <w:szCs w:val="28"/>
        </w:rPr>
        <w:t xml:space="preserve"> такую услугу, </w:t>
      </w:r>
      <w:r w:rsidR="00606634" w:rsidRPr="00606634">
        <w:rPr>
          <w:sz w:val="28"/>
          <w:szCs w:val="28"/>
        </w:rPr>
        <w:t>32,4</w:t>
      </w:r>
      <w:r w:rsidR="00F5081F">
        <w:rPr>
          <w:sz w:val="28"/>
          <w:szCs w:val="28"/>
        </w:rPr>
        <w:t xml:space="preserve"> % (в 202</w:t>
      </w:r>
      <w:r w:rsidR="00143773">
        <w:rPr>
          <w:sz w:val="28"/>
          <w:szCs w:val="28"/>
        </w:rPr>
        <w:t>2</w:t>
      </w:r>
      <w:r w:rsidR="00FE6B7F">
        <w:rPr>
          <w:sz w:val="28"/>
          <w:szCs w:val="28"/>
        </w:rPr>
        <w:t xml:space="preserve"> году </w:t>
      </w:r>
      <w:r w:rsidR="00F5081F">
        <w:rPr>
          <w:sz w:val="28"/>
          <w:szCs w:val="28"/>
        </w:rPr>
        <w:t xml:space="preserve">– </w:t>
      </w:r>
      <w:r w:rsidR="00143773">
        <w:rPr>
          <w:sz w:val="28"/>
          <w:szCs w:val="28"/>
        </w:rPr>
        <w:t>29,7</w:t>
      </w:r>
      <w:r w:rsidR="00F5081F">
        <w:rPr>
          <w:sz w:val="28"/>
          <w:szCs w:val="28"/>
        </w:rPr>
        <w:t xml:space="preserve"> </w:t>
      </w:r>
      <w:r w:rsidR="0067388F">
        <w:rPr>
          <w:sz w:val="28"/>
          <w:szCs w:val="28"/>
        </w:rPr>
        <w:t xml:space="preserve">%) опрошенных считают, что рынок развит в достаточной мере, </w:t>
      </w:r>
      <w:r w:rsidRPr="00E0690F">
        <w:rPr>
          <w:sz w:val="28"/>
          <w:szCs w:val="28"/>
        </w:rPr>
        <w:t>53,8</w:t>
      </w:r>
      <w:r w:rsidR="00F5081F" w:rsidRPr="00E0690F">
        <w:rPr>
          <w:sz w:val="28"/>
          <w:szCs w:val="28"/>
        </w:rPr>
        <w:t xml:space="preserve"> %</w:t>
      </w:r>
      <w:r w:rsidR="00F5081F">
        <w:rPr>
          <w:sz w:val="28"/>
          <w:szCs w:val="28"/>
        </w:rPr>
        <w:t xml:space="preserve"> (в 202</w:t>
      </w:r>
      <w:r w:rsidR="00143773">
        <w:rPr>
          <w:sz w:val="28"/>
          <w:szCs w:val="28"/>
        </w:rPr>
        <w:t>2</w:t>
      </w:r>
      <w:r w:rsidR="00F5081F">
        <w:rPr>
          <w:sz w:val="28"/>
          <w:szCs w:val="28"/>
        </w:rPr>
        <w:t xml:space="preserve"> году </w:t>
      </w:r>
      <w:r w:rsidR="00143773">
        <w:rPr>
          <w:sz w:val="28"/>
          <w:szCs w:val="28"/>
        </w:rPr>
        <w:t>–</w:t>
      </w:r>
      <w:r w:rsidR="00F5081F">
        <w:rPr>
          <w:sz w:val="28"/>
          <w:szCs w:val="28"/>
        </w:rPr>
        <w:t xml:space="preserve"> </w:t>
      </w:r>
      <w:r w:rsidR="00143773">
        <w:rPr>
          <w:sz w:val="28"/>
          <w:szCs w:val="28"/>
        </w:rPr>
        <w:t>56,4</w:t>
      </w:r>
      <w:r w:rsidR="00F5081F">
        <w:rPr>
          <w:sz w:val="28"/>
          <w:szCs w:val="28"/>
        </w:rPr>
        <w:t xml:space="preserve">%) </w:t>
      </w:r>
      <w:r w:rsidR="0067388F">
        <w:rPr>
          <w:sz w:val="28"/>
          <w:szCs w:val="28"/>
        </w:rPr>
        <w:t xml:space="preserve">считают, что </w:t>
      </w:r>
      <w:r w:rsidR="002E4AA8" w:rsidRPr="002E4AA8">
        <w:rPr>
          <w:sz w:val="28"/>
          <w:szCs w:val="28"/>
        </w:rPr>
        <w:t>таких организаций недостаточно</w:t>
      </w:r>
      <w:r w:rsidR="0067388F">
        <w:rPr>
          <w:sz w:val="28"/>
          <w:szCs w:val="28"/>
        </w:rPr>
        <w:t>.</w:t>
      </w:r>
      <w:r w:rsidR="00FE6B7F">
        <w:rPr>
          <w:sz w:val="28"/>
          <w:szCs w:val="28"/>
        </w:rPr>
        <w:t xml:space="preserve"> </w:t>
      </w:r>
      <w:proofErr w:type="gramEnd"/>
    </w:p>
    <w:p w:rsidR="00C06E57" w:rsidRDefault="0067388F" w:rsidP="00D5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4974">
        <w:rPr>
          <w:sz w:val="28"/>
          <w:szCs w:val="28"/>
        </w:rPr>
        <w:t>На рисунке 3</w:t>
      </w:r>
      <w:r>
        <w:rPr>
          <w:sz w:val="28"/>
          <w:szCs w:val="28"/>
        </w:rPr>
        <w:t>2 отражено как сложило</w:t>
      </w:r>
      <w:r w:rsidRPr="00DF4974">
        <w:rPr>
          <w:sz w:val="28"/>
          <w:szCs w:val="28"/>
        </w:rPr>
        <w:t xml:space="preserve">сь мнение респондентов в отношении к ценообразованию, качеству и возможности выбора на </w:t>
      </w:r>
      <w:r>
        <w:rPr>
          <w:sz w:val="28"/>
          <w:szCs w:val="28"/>
        </w:rPr>
        <w:t xml:space="preserve">представленном </w:t>
      </w:r>
      <w:r w:rsidRPr="00DF4974">
        <w:rPr>
          <w:sz w:val="28"/>
          <w:szCs w:val="28"/>
        </w:rPr>
        <w:t>рынке</w:t>
      </w:r>
      <w:r>
        <w:rPr>
          <w:sz w:val="28"/>
          <w:szCs w:val="28"/>
        </w:rPr>
        <w:t>.</w:t>
      </w:r>
    </w:p>
    <w:p w:rsidR="0067388F" w:rsidRDefault="0067388F" w:rsidP="0067388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Рисунок 32. </w:t>
      </w:r>
    </w:p>
    <w:p w:rsidR="00C06E57" w:rsidRDefault="0067388F" w:rsidP="00D5175C">
      <w:pPr>
        <w:jc w:val="both"/>
        <w:rPr>
          <w:b/>
          <w:sz w:val="28"/>
          <w:szCs w:val="28"/>
        </w:rPr>
      </w:pPr>
      <w:r w:rsidRPr="0067388F">
        <w:rPr>
          <w:b/>
          <w:noProof/>
          <w:sz w:val="28"/>
          <w:szCs w:val="28"/>
        </w:rPr>
        <w:drawing>
          <wp:inline distT="0" distB="0" distL="0" distR="0">
            <wp:extent cx="6210300" cy="2914650"/>
            <wp:effectExtent l="0" t="0" r="0" b="0"/>
            <wp:docPr id="4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06E57" w:rsidRDefault="00C06E57" w:rsidP="00D5175C">
      <w:pPr>
        <w:jc w:val="both"/>
        <w:rPr>
          <w:b/>
          <w:sz w:val="28"/>
          <w:szCs w:val="28"/>
        </w:rPr>
      </w:pPr>
    </w:p>
    <w:p w:rsidR="000A4E10" w:rsidRPr="00606634" w:rsidRDefault="000A4E10" w:rsidP="000A4E10">
      <w:pPr>
        <w:ind w:firstLine="708"/>
        <w:jc w:val="both"/>
        <w:rPr>
          <w:sz w:val="28"/>
          <w:szCs w:val="28"/>
        </w:rPr>
      </w:pPr>
      <w:r w:rsidRPr="00606634">
        <w:rPr>
          <w:sz w:val="28"/>
          <w:szCs w:val="28"/>
        </w:rPr>
        <w:t>31. Рынок семеноводства.</w:t>
      </w:r>
    </w:p>
    <w:p w:rsidR="00501903" w:rsidRPr="00DF4974" w:rsidRDefault="00606634" w:rsidP="005019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01903" w:rsidRPr="00DF4974">
        <w:rPr>
          <w:sz w:val="28"/>
          <w:szCs w:val="28"/>
        </w:rPr>
        <w:t xml:space="preserve">оличество опрошенных </w:t>
      </w:r>
      <w:proofErr w:type="gramStart"/>
      <w:r w:rsidR="00501903" w:rsidRPr="00DF4974">
        <w:rPr>
          <w:sz w:val="28"/>
          <w:szCs w:val="28"/>
        </w:rPr>
        <w:t>потребителей</w:t>
      </w:r>
      <w:proofErr w:type="gramEnd"/>
      <w:r w:rsidR="00501903" w:rsidRPr="00DF4974">
        <w:rPr>
          <w:sz w:val="28"/>
          <w:szCs w:val="28"/>
        </w:rPr>
        <w:t xml:space="preserve"> которые считают, что рынок услуг </w:t>
      </w:r>
      <w:r w:rsidR="00501903" w:rsidRPr="00501903">
        <w:rPr>
          <w:sz w:val="28"/>
          <w:szCs w:val="28"/>
        </w:rPr>
        <w:t>семеноводства</w:t>
      </w:r>
      <w:r w:rsidR="00501903" w:rsidRPr="00DF4974">
        <w:rPr>
          <w:sz w:val="28"/>
          <w:szCs w:val="28"/>
        </w:rPr>
        <w:t xml:space="preserve"> округа развит и количество организаций, оказывающих данную услугу представлен в достаточном количестве</w:t>
      </w:r>
      <w:r>
        <w:rPr>
          <w:sz w:val="28"/>
          <w:szCs w:val="28"/>
        </w:rPr>
        <w:t xml:space="preserve"> </w:t>
      </w:r>
      <w:r w:rsidR="00501903" w:rsidRPr="00DF4974">
        <w:rPr>
          <w:sz w:val="28"/>
          <w:szCs w:val="28"/>
        </w:rPr>
        <w:t xml:space="preserve"> </w:t>
      </w:r>
      <w:r w:rsidRPr="00606634">
        <w:rPr>
          <w:sz w:val="28"/>
          <w:szCs w:val="28"/>
        </w:rPr>
        <w:t>33,2</w:t>
      </w:r>
      <w:r w:rsidR="005E302F">
        <w:rPr>
          <w:sz w:val="28"/>
          <w:szCs w:val="28"/>
        </w:rPr>
        <w:t xml:space="preserve"> % (в 202</w:t>
      </w:r>
      <w:r w:rsidR="00904D15">
        <w:rPr>
          <w:sz w:val="28"/>
          <w:szCs w:val="28"/>
        </w:rPr>
        <w:t>2</w:t>
      </w:r>
      <w:r w:rsidR="00501903" w:rsidRPr="00DF4974">
        <w:rPr>
          <w:sz w:val="28"/>
          <w:szCs w:val="28"/>
        </w:rPr>
        <w:t xml:space="preserve"> году </w:t>
      </w:r>
      <w:r w:rsidR="005E302F">
        <w:rPr>
          <w:sz w:val="28"/>
          <w:szCs w:val="28"/>
        </w:rPr>
        <w:t>–</w:t>
      </w:r>
      <w:r w:rsidR="00501903" w:rsidRPr="00DF4974">
        <w:rPr>
          <w:sz w:val="28"/>
          <w:szCs w:val="28"/>
        </w:rPr>
        <w:t xml:space="preserve"> </w:t>
      </w:r>
      <w:r w:rsidR="00904D15">
        <w:rPr>
          <w:sz w:val="28"/>
          <w:szCs w:val="28"/>
        </w:rPr>
        <w:t>29,7</w:t>
      </w:r>
      <w:r w:rsidR="00501903" w:rsidRPr="00DF4974">
        <w:rPr>
          <w:sz w:val="28"/>
          <w:szCs w:val="28"/>
        </w:rPr>
        <w:t xml:space="preserve"> %). </w:t>
      </w:r>
    </w:p>
    <w:p w:rsidR="00C06E57" w:rsidRDefault="00501903" w:rsidP="00501903">
      <w:pPr>
        <w:ind w:firstLine="708"/>
        <w:jc w:val="both"/>
        <w:rPr>
          <w:sz w:val="28"/>
          <w:szCs w:val="28"/>
        </w:rPr>
      </w:pPr>
      <w:r w:rsidRPr="00DF4974">
        <w:rPr>
          <w:sz w:val="28"/>
          <w:szCs w:val="28"/>
        </w:rPr>
        <w:t>На рисунке 3</w:t>
      </w:r>
      <w:r w:rsidR="00BE618F">
        <w:rPr>
          <w:sz w:val="28"/>
          <w:szCs w:val="28"/>
        </w:rPr>
        <w:t>3</w:t>
      </w:r>
      <w:r>
        <w:rPr>
          <w:sz w:val="28"/>
          <w:szCs w:val="28"/>
        </w:rPr>
        <w:t xml:space="preserve"> отражено как сложило</w:t>
      </w:r>
      <w:r w:rsidRPr="00DF4974">
        <w:rPr>
          <w:sz w:val="28"/>
          <w:szCs w:val="28"/>
        </w:rPr>
        <w:t xml:space="preserve">сь мнение респондентов в отношении к ценообразованию, качеству и возможности выбора на рынке </w:t>
      </w:r>
      <w:r w:rsidRPr="00501903">
        <w:rPr>
          <w:sz w:val="28"/>
          <w:szCs w:val="28"/>
        </w:rPr>
        <w:t>семеноводства</w:t>
      </w:r>
      <w:r w:rsidRPr="00DF4974">
        <w:rPr>
          <w:sz w:val="28"/>
          <w:szCs w:val="28"/>
        </w:rPr>
        <w:t xml:space="preserve"> по сравнению с прошлым годом в процентном соотношении.</w:t>
      </w:r>
    </w:p>
    <w:p w:rsidR="00C06E57" w:rsidRDefault="00501903" w:rsidP="00BE618F">
      <w:pPr>
        <w:ind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BE618F">
        <w:rPr>
          <w:sz w:val="28"/>
          <w:szCs w:val="28"/>
        </w:rPr>
        <w:t>33</w:t>
      </w:r>
      <w:r>
        <w:rPr>
          <w:sz w:val="28"/>
          <w:szCs w:val="28"/>
        </w:rPr>
        <w:t>.</w:t>
      </w:r>
    </w:p>
    <w:p w:rsidR="00C06E57" w:rsidRDefault="00501903" w:rsidP="00D5175C">
      <w:pPr>
        <w:jc w:val="both"/>
        <w:rPr>
          <w:b/>
          <w:sz w:val="28"/>
          <w:szCs w:val="28"/>
        </w:rPr>
      </w:pPr>
      <w:r w:rsidRPr="00501903">
        <w:rPr>
          <w:b/>
          <w:noProof/>
          <w:sz w:val="28"/>
          <w:szCs w:val="28"/>
        </w:rPr>
        <w:drawing>
          <wp:inline distT="0" distB="0" distL="0" distR="0">
            <wp:extent cx="6210300" cy="2800350"/>
            <wp:effectExtent l="0" t="0" r="0" b="0"/>
            <wp:docPr id="4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06E57" w:rsidRPr="00606634" w:rsidRDefault="00FE6B7F" w:rsidP="00D5175C">
      <w:pPr>
        <w:jc w:val="both"/>
        <w:rPr>
          <w:sz w:val="28"/>
          <w:szCs w:val="28"/>
        </w:rPr>
      </w:pPr>
      <w:r w:rsidRPr="00904D15">
        <w:rPr>
          <w:color w:val="FF0000"/>
          <w:sz w:val="28"/>
          <w:szCs w:val="28"/>
        </w:rPr>
        <w:lastRenderedPageBreak/>
        <w:t xml:space="preserve">           </w:t>
      </w:r>
      <w:r w:rsidR="00111F9D" w:rsidRPr="00606634">
        <w:rPr>
          <w:sz w:val="28"/>
          <w:szCs w:val="28"/>
        </w:rPr>
        <w:t>32. Рынок вылова водных биоресурсов.</w:t>
      </w:r>
    </w:p>
    <w:p w:rsidR="00BE618F" w:rsidRDefault="00BE618F" w:rsidP="00D5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6B7F">
        <w:rPr>
          <w:sz w:val="28"/>
          <w:szCs w:val="28"/>
        </w:rPr>
        <w:t xml:space="preserve">    </w:t>
      </w:r>
      <w:r w:rsidRPr="00EA6A29">
        <w:rPr>
          <w:sz w:val="28"/>
          <w:szCs w:val="28"/>
        </w:rPr>
        <w:t>Мнения потребителей о рынке водных биоресурсов схожи с мнением о рынке семеноводства.</w:t>
      </w:r>
    </w:p>
    <w:p w:rsidR="00BE618F" w:rsidRPr="00BE618F" w:rsidRDefault="00FE6B7F" w:rsidP="00BE618F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6634">
        <w:rPr>
          <w:sz w:val="28"/>
          <w:szCs w:val="28"/>
        </w:rPr>
        <w:t>К</w:t>
      </w:r>
      <w:r w:rsidR="00BE618F" w:rsidRPr="00BE618F">
        <w:rPr>
          <w:sz w:val="28"/>
          <w:szCs w:val="28"/>
        </w:rPr>
        <w:t xml:space="preserve">оличество опрошенных </w:t>
      </w:r>
      <w:proofErr w:type="gramStart"/>
      <w:r w:rsidR="00BE618F" w:rsidRPr="00BE618F">
        <w:rPr>
          <w:sz w:val="28"/>
          <w:szCs w:val="28"/>
        </w:rPr>
        <w:t>потребителей</w:t>
      </w:r>
      <w:proofErr w:type="gramEnd"/>
      <w:r w:rsidR="00BE618F" w:rsidRPr="00BE618F">
        <w:rPr>
          <w:sz w:val="28"/>
          <w:szCs w:val="28"/>
        </w:rPr>
        <w:t xml:space="preserve"> которые считают, что рынок услуг вылова водных биоресурсов округа развит и количество организаций, оказывающих данную услугу представлен в достаточном количестве. По результатам опроса так считают </w:t>
      </w:r>
      <w:r w:rsidR="00606634" w:rsidRPr="00606634">
        <w:rPr>
          <w:sz w:val="28"/>
          <w:szCs w:val="28"/>
        </w:rPr>
        <w:t>32</w:t>
      </w:r>
      <w:r w:rsidR="00BE618F" w:rsidRPr="00BE618F">
        <w:rPr>
          <w:sz w:val="28"/>
          <w:szCs w:val="28"/>
        </w:rPr>
        <w:t xml:space="preserve"> % </w:t>
      </w:r>
      <w:r w:rsidRPr="00BE618F">
        <w:rPr>
          <w:sz w:val="28"/>
          <w:szCs w:val="28"/>
        </w:rPr>
        <w:t>(</w:t>
      </w:r>
      <w:r w:rsidR="00EA6A29">
        <w:rPr>
          <w:sz w:val="28"/>
          <w:szCs w:val="28"/>
        </w:rPr>
        <w:t>в 202</w:t>
      </w:r>
      <w:r w:rsidR="00904D15">
        <w:rPr>
          <w:sz w:val="28"/>
          <w:szCs w:val="28"/>
        </w:rPr>
        <w:t>2</w:t>
      </w:r>
      <w:r w:rsidRPr="00BE618F">
        <w:rPr>
          <w:sz w:val="28"/>
          <w:szCs w:val="28"/>
        </w:rPr>
        <w:t xml:space="preserve"> году </w:t>
      </w:r>
      <w:r w:rsidR="00EA6A29">
        <w:rPr>
          <w:sz w:val="28"/>
          <w:szCs w:val="28"/>
        </w:rPr>
        <w:t>–</w:t>
      </w:r>
      <w:r w:rsidRPr="00BE618F">
        <w:rPr>
          <w:sz w:val="28"/>
          <w:szCs w:val="28"/>
        </w:rPr>
        <w:t xml:space="preserve"> </w:t>
      </w:r>
      <w:r w:rsidR="00904D15">
        <w:rPr>
          <w:sz w:val="28"/>
          <w:szCs w:val="28"/>
        </w:rPr>
        <w:t>29,7</w:t>
      </w:r>
      <w:r>
        <w:rPr>
          <w:sz w:val="28"/>
          <w:szCs w:val="28"/>
        </w:rPr>
        <w:t xml:space="preserve"> </w:t>
      </w:r>
      <w:r w:rsidRPr="00BE618F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044E47">
        <w:rPr>
          <w:sz w:val="28"/>
          <w:szCs w:val="28"/>
        </w:rPr>
        <w:t>респондентов</w:t>
      </w:r>
      <w:r w:rsidR="00BE618F" w:rsidRPr="00BE618F">
        <w:rPr>
          <w:sz w:val="28"/>
          <w:szCs w:val="28"/>
        </w:rPr>
        <w:t xml:space="preserve">. </w:t>
      </w:r>
    </w:p>
    <w:p w:rsidR="00BE618F" w:rsidRDefault="00FE6B7F" w:rsidP="00BE618F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E618F" w:rsidRPr="00BE618F">
        <w:rPr>
          <w:sz w:val="28"/>
          <w:szCs w:val="28"/>
        </w:rPr>
        <w:t>На рисунке 3</w:t>
      </w:r>
      <w:r w:rsidR="00BE618F">
        <w:rPr>
          <w:sz w:val="28"/>
          <w:szCs w:val="28"/>
        </w:rPr>
        <w:t>4</w:t>
      </w:r>
      <w:r w:rsidR="00BE618F" w:rsidRPr="00BE618F">
        <w:rPr>
          <w:sz w:val="28"/>
          <w:szCs w:val="28"/>
        </w:rPr>
        <w:t xml:space="preserve"> отражено как сложилось мнение респондентов в отношении к ценообразованию, качеству и возможности выбора на рынке вылова водных биоресурсов по сравнению с прошлым годом в процентном соотношении.</w:t>
      </w:r>
    </w:p>
    <w:p w:rsidR="00BE618F" w:rsidRPr="00BE618F" w:rsidRDefault="00BE618F" w:rsidP="00BE618F">
      <w:pPr>
        <w:tabs>
          <w:tab w:val="left" w:pos="10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Рисунок 34.</w:t>
      </w:r>
    </w:p>
    <w:p w:rsidR="00BE618F" w:rsidRDefault="00BE618F" w:rsidP="00BE618F">
      <w:pPr>
        <w:tabs>
          <w:tab w:val="left" w:pos="1005"/>
        </w:tabs>
        <w:jc w:val="both"/>
        <w:rPr>
          <w:sz w:val="28"/>
          <w:szCs w:val="28"/>
        </w:rPr>
      </w:pPr>
      <w:r w:rsidRPr="00BE618F">
        <w:rPr>
          <w:noProof/>
          <w:sz w:val="28"/>
          <w:szCs w:val="28"/>
        </w:rPr>
        <w:drawing>
          <wp:inline distT="0" distB="0" distL="0" distR="0">
            <wp:extent cx="6210300" cy="2819400"/>
            <wp:effectExtent l="0" t="0" r="0" b="0"/>
            <wp:docPr id="4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00A24" w:rsidRPr="00606634" w:rsidRDefault="00900A24" w:rsidP="00900A24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6634">
        <w:rPr>
          <w:sz w:val="28"/>
          <w:szCs w:val="28"/>
        </w:rPr>
        <w:t>33. Рынок переработки водных биоресурсов.</w:t>
      </w:r>
    </w:p>
    <w:p w:rsidR="00597FF2" w:rsidRDefault="00900A24" w:rsidP="00597FF2">
      <w:pPr>
        <w:jc w:val="both"/>
        <w:rPr>
          <w:sz w:val="28"/>
          <w:szCs w:val="28"/>
        </w:rPr>
      </w:pPr>
      <w:r w:rsidRPr="00597FF2">
        <w:rPr>
          <w:sz w:val="28"/>
          <w:szCs w:val="28"/>
        </w:rPr>
        <w:t xml:space="preserve">              </w:t>
      </w:r>
      <w:r w:rsidR="00597FF2" w:rsidRPr="00597FF2">
        <w:rPr>
          <w:sz w:val="28"/>
          <w:szCs w:val="28"/>
        </w:rPr>
        <w:t xml:space="preserve">Ситуация на рынке </w:t>
      </w:r>
      <w:r w:rsidR="005A0B7F">
        <w:rPr>
          <w:sz w:val="28"/>
          <w:szCs w:val="28"/>
        </w:rPr>
        <w:t>переработки водных биоресурсов</w:t>
      </w:r>
      <w:r w:rsidR="00597FF2" w:rsidRPr="00597FF2">
        <w:rPr>
          <w:sz w:val="28"/>
          <w:szCs w:val="28"/>
        </w:rPr>
        <w:t xml:space="preserve"> не сильно </w:t>
      </w:r>
      <w:r w:rsidR="009631E5">
        <w:rPr>
          <w:sz w:val="28"/>
          <w:szCs w:val="28"/>
        </w:rPr>
        <w:t>отличается от двух предыдущих</w:t>
      </w:r>
      <w:r w:rsidR="00597FF2" w:rsidRPr="00597FF2">
        <w:rPr>
          <w:sz w:val="28"/>
          <w:szCs w:val="28"/>
        </w:rPr>
        <w:t xml:space="preserve">, так </w:t>
      </w:r>
      <w:r w:rsidR="009631E5">
        <w:rPr>
          <w:sz w:val="28"/>
          <w:szCs w:val="28"/>
        </w:rPr>
        <w:t xml:space="preserve">всего </w:t>
      </w:r>
      <w:r w:rsidR="00AE3022" w:rsidRPr="00AE3022">
        <w:rPr>
          <w:sz w:val="28"/>
          <w:szCs w:val="28"/>
        </w:rPr>
        <w:t>31,2</w:t>
      </w:r>
      <w:r w:rsidR="00597FF2" w:rsidRPr="00597FF2">
        <w:rPr>
          <w:sz w:val="28"/>
          <w:szCs w:val="28"/>
        </w:rPr>
        <w:t xml:space="preserve"> % (</w:t>
      </w:r>
      <w:r w:rsidR="009631E5">
        <w:rPr>
          <w:sz w:val="28"/>
          <w:szCs w:val="28"/>
        </w:rPr>
        <w:t>в 202</w:t>
      </w:r>
      <w:r w:rsidR="002C3717">
        <w:rPr>
          <w:sz w:val="28"/>
          <w:szCs w:val="28"/>
        </w:rPr>
        <w:t>2</w:t>
      </w:r>
      <w:r w:rsidR="00931B31">
        <w:rPr>
          <w:sz w:val="28"/>
          <w:szCs w:val="28"/>
        </w:rPr>
        <w:t xml:space="preserve"> году </w:t>
      </w:r>
      <w:r w:rsidR="009631E5">
        <w:rPr>
          <w:sz w:val="28"/>
          <w:szCs w:val="28"/>
        </w:rPr>
        <w:t>–</w:t>
      </w:r>
      <w:r w:rsidR="002C3717">
        <w:rPr>
          <w:sz w:val="28"/>
          <w:szCs w:val="28"/>
        </w:rPr>
        <w:t>29,7</w:t>
      </w:r>
      <w:r w:rsidR="00597FF2" w:rsidRPr="00597FF2">
        <w:rPr>
          <w:sz w:val="28"/>
          <w:szCs w:val="28"/>
        </w:rPr>
        <w:t>%) респондентов считают, что на данном рынке достаточно организаций.</w:t>
      </w:r>
    </w:p>
    <w:p w:rsidR="005A0B7F" w:rsidRDefault="005A0B7F" w:rsidP="00597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E618F">
        <w:rPr>
          <w:sz w:val="28"/>
          <w:szCs w:val="28"/>
        </w:rPr>
        <w:t>На рисунке 3</w:t>
      </w:r>
      <w:r>
        <w:rPr>
          <w:sz w:val="28"/>
          <w:szCs w:val="28"/>
        </w:rPr>
        <w:t>5</w:t>
      </w:r>
      <w:r w:rsidRPr="00BE618F">
        <w:rPr>
          <w:sz w:val="28"/>
          <w:szCs w:val="28"/>
        </w:rPr>
        <w:t xml:space="preserve"> отражено как сложилось мнение респондентов в отношении к ценообразованию, качеству и возможности выбора на рынке </w:t>
      </w:r>
      <w:r w:rsidRPr="005A0B7F">
        <w:rPr>
          <w:sz w:val="28"/>
          <w:szCs w:val="28"/>
        </w:rPr>
        <w:t>переработки водных биоресурсов</w:t>
      </w:r>
      <w:r>
        <w:rPr>
          <w:sz w:val="28"/>
          <w:szCs w:val="28"/>
        </w:rPr>
        <w:t xml:space="preserve"> </w:t>
      </w:r>
      <w:r w:rsidRPr="00BE618F">
        <w:rPr>
          <w:sz w:val="28"/>
          <w:szCs w:val="28"/>
        </w:rPr>
        <w:t xml:space="preserve"> по сравнению с прошлым годом в процентном соотношении</w:t>
      </w:r>
      <w:r>
        <w:rPr>
          <w:sz w:val="28"/>
          <w:szCs w:val="28"/>
        </w:rPr>
        <w:t>.</w:t>
      </w:r>
    </w:p>
    <w:p w:rsidR="005A0B7F" w:rsidRPr="00597FF2" w:rsidRDefault="005A0B7F" w:rsidP="005A0B7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Рисунок 35.</w:t>
      </w:r>
    </w:p>
    <w:p w:rsidR="00BE618F" w:rsidRDefault="005A0B7F" w:rsidP="00D5175C">
      <w:pPr>
        <w:jc w:val="both"/>
        <w:rPr>
          <w:sz w:val="28"/>
          <w:szCs w:val="28"/>
        </w:rPr>
      </w:pPr>
      <w:r w:rsidRPr="005A0B7F">
        <w:rPr>
          <w:noProof/>
          <w:sz w:val="28"/>
          <w:szCs w:val="28"/>
        </w:rPr>
        <w:drawing>
          <wp:inline distT="0" distB="0" distL="0" distR="0">
            <wp:extent cx="6210300" cy="2457450"/>
            <wp:effectExtent l="0" t="0" r="0" b="0"/>
            <wp:docPr id="4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E618F" w:rsidRDefault="00BE618F" w:rsidP="00D5175C">
      <w:pPr>
        <w:jc w:val="both"/>
        <w:rPr>
          <w:sz w:val="28"/>
          <w:szCs w:val="28"/>
        </w:rPr>
      </w:pPr>
    </w:p>
    <w:p w:rsidR="00093A32" w:rsidRPr="00AE3022" w:rsidRDefault="00093A32" w:rsidP="00093A32">
      <w:pPr>
        <w:ind w:firstLine="644"/>
        <w:jc w:val="both"/>
        <w:rPr>
          <w:sz w:val="28"/>
          <w:szCs w:val="28"/>
        </w:rPr>
      </w:pPr>
      <w:r w:rsidRPr="00AE3022">
        <w:rPr>
          <w:sz w:val="28"/>
          <w:szCs w:val="28"/>
        </w:rPr>
        <w:t xml:space="preserve">34. Рынок </w:t>
      </w:r>
      <w:proofErr w:type="gramStart"/>
      <w:r w:rsidRPr="00AE3022">
        <w:rPr>
          <w:sz w:val="28"/>
          <w:szCs w:val="28"/>
        </w:rPr>
        <w:t>товарной</w:t>
      </w:r>
      <w:proofErr w:type="gramEnd"/>
      <w:r w:rsidRPr="00AE3022">
        <w:rPr>
          <w:sz w:val="28"/>
          <w:szCs w:val="28"/>
        </w:rPr>
        <w:t xml:space="preserve"> </w:t>
      </w:r>
      <w:proofErr w:type="spellStart"/>
      <w:r w:rsidRPr="00AE3022">
        <w:rPr>
          <w:sz w:val="28"/>
          <w:szCs w:val="28"/>
        </w:rPr>
        <w:t>аквакультуры</w:t>
      </w:r>
      <w:proofErr w:type="spellEnd"/>
      <w:r w:rsidRPr="00AE3022">
        <w:rPr>
          <w:sz w:val="28"/>
          <w:szCs w:val="28"/>
        </w:rPr>
        <w:t>.</w:t>
      </w:r>
    </w:p>
    <w:p w:rsidR="00BE618F" w:rsidRDefault="002C12BC" w:rsidP="00093A32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опрошенных </w:t>
      </w:r>
      <w:r w:rsidRPr="00AE3022">
        <w:rPr>
          <w:sz w:val="28"/>
          <w:szCs w:val="28"/>
        </w:rPr>
        <w:t>2</w:t>
      </w:r>
      <w:r w:rsidR="00AE3022">
        <w:rPr>
          <w:sz w:val="28"/>
          <w:szCs w:val="28"/>
        </w:rPr>
        <w:t>3</w:t>
      </w:r>
      <w:r w:rsidRPr="00AE3022">
        <w:rPr>
          <w:sz w:val="28"/>
          <w:szCs w:val="28"/>
        </w:rPr>
        <w:t>,</w:t>
      </w:r>
      <w:r w:rsidR="00AE3022">
        <w:rPr>
          <w:sz w:val="28"/>
          <w:szCs w:val="28"/>
        </w:rPr>
        <w:t>7</w:t>
      </w:r>
      <w:r w:rsidR="00093A32">
        <w:rPr>
          <w:sz w:val="28"/>
          <w:szCs w:val="28"/>
        </w:rPr>
        <w:t xml:space="preserve"> % (</w:t>
      </w:r>
      <w:r>
        <w:rPr>
          <w:sz w:val="28"/>
          <w:szCs w:val="28"/>
        </w:rPr>
        <w:t>в 202</w:t>
      </w:r>
      <w:r w:rsidR="00973692">
        <w:rPr>
          <w:sz w:val="28"/>
          <w:szCs w:val="28"/>
        </w:rPr>
        <w:t>2</w:t>
      </w:r>
      <w:r w:rsidR="00A658E2">
        <w:rPr>
          <w:sz w:val="28"/>
          <w:szCs w:val="28"/>
        </w:rPr>
        <w:t xml:space="preserve">году </w:t>
      </w:r>
      <w:r>
        <w:rPr>
          <w:sz w:val="28"/>
          <w:szCs w:val="28"/>
        </w:rPr>
        <w:t>–</w:t>
      </w:r>
      <w:r w:rsidR="00093A32">
        <w:rPr>
          <w:sz w:val="28"/>
          <w:szCs w:val="28"/>
        </w:rPr>
        <w:t xml:space="preserve"> </w:t>
      </w:r>
      <w:r w:rsidR="00973692">
        <w:rPr>
          <w:sz w:val="28"/>
          <w:szCs w:val="28"/>
        </w:rPr>
        <w:t>26,7</w:t>
      </w:r>
      <w:r w:rsidR="00093A32">
        <w:rPr>
          <w:sz w:val="28"/>
          <w:szCs w:val="28"/>
        </w:rPr>
        <w:t xml:space="preserve"> %) считают, что на рынке присутствует достаточное количество поставщиков, при этом на</w:t>
      </w:r>
      <w:r>
        <w:rPr>
          <w:sz w:val="28"/>
          <w:szCs w:val="28"/>
        </w:rPr>
        <w:t xml:space="preserve"> их отсутствие пожаловалось </w:t>
      </w:r>
      <w:r w:rsidR="002E4AA8" w:rsidRPr="002E4AA8">
        <w:rPr>
          <w:sz w:val="28"/>
          <w:szCs w:val="28"/>
        </w:rPr>
        <w:t>60,5</w:t>
      </w:r>
      <w:r w:rsidR="00093A32">
        <w:rPr>
          <w:sz w:val="28"/>
          <w:szCs w:val="28"/>
        </w:rPr>
        <w:t xml:space="preserve"> % (</w:t>
      </w:r>
      <w:r>
        <w:rPr>
          <w:sz w:val="28"/>
          <w:szCs w:val="28"/>
        </w:rPr>
        <w:t>в 202</w:t>
      </w:r>
      <w:r w:rsidR="00973692">
        <w:rPr>
          <w:sz w:val="28"/>
          <w:szCs w:val="28"/>
        </w:rPr>
        <w:t>2</w:t>
      </w:r>
      <w:r w:rsidR="00A658E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="00973692">
        <w:rPr>
          <w:sz w:val="28"/>
          <w:szCs w:val="28"/>
        </w:rPr>
        <w:t>57</w:t>
      </w:r>
      <w:r w:rsidR="00093A32">
        <w:rPr>
          <w:sz w:val="28"/>
          <w:szCs w:val="28"/>
        </w:rPr>
        <w:t xml:space="preserve"> %). </w:t>
      </w:r>
    </w:p>
    <w:p w:rsidR="00093A32" w:rsidRDefault="00093A32" w:rsidP="0009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618F">
        <w:rPr>
          <w:sz w:val="28"/>
          <w:szCs w:val="28"/>
        </w:rPr>
        <w:t>На рисунке 3</w:t>
      </w:r>
      <w:r>
        <w:rPr>
          <w:sz w:val="28"/>
          <w:szCs w:val="28"/>
        </w:rPr>
        <w:t>6</w:t>
      </w:r>
      <w:r w:rsidRPr="00BE618F">
        <w:rPr>
          <w:sz w:val="28"/>
          <w:szCs w:val="28"/>
        </w:rPr>
        <w:t xml:space="preserve"> отражено как сложилось мнение респондентов в отношении к ценообразованию, качеству и возможности выбора на </w:t>
      </w:r>
      <w:r>
        <w:rPr>
          <w:sz w:val="28"/>
          <w:szCs w:val="28"/>
        </w:rPr>
        <w:t xml:space="preserve">представленном </w:t>
      </w:r>
      <w:r w:rsidRPr="00BE618F">
        <w:rPr>
          <w:sz w:val="28"/>
          <w:szCs w:val="28"/>
        </w:rPr>
        <w:t xml:space="preserve"> рынке по сравнению с прошлым годом в процентном соотношении</w:t>
      </w:r>
      <w:r>
        <w:rPr>
          <w:sz w:val="28"/>
          <w:szCs w:val="28"/>
        </w:rPr>
        <w:t>.</w:t>
      </w:r>
    </w:p>
    <w:p w:rsidR="00093A32" w:rsidRDefault="00093A32" w:rsidP="00093A32">
      <w:pPr>
        <w:jc w:val="right"/>
        <w:rPr>
          <w:sz w:val="28"/>
          <w:szCs w:val="28"/>
        </w:rPr>
      </w:pPr>
      <w:r>
        <w:rPr>
          <w:sz w:val="28"/>
          <w:szCs w:val="28"/>
        </w:rPr>
        <w:t>Рисунок 36.</w:t>
      </w:r>
    </w:p>
    <w:p w:rsidR="00BE618F" w:rsidRDefault="00BE618F" w:rsidP="00093A32">
      <w:pPr>
        <w:ind w:firstLine="708"/>
        <w:jc w:val="both"/>
        <w:rPr>
          <w:b/>
          <w:sz w:val="28"/>
          <w:szCs w:val="28"/>
        </w:rPr>
      </w:pPr>
    </w:p>
    <w:p w:rsidR="00C06E57" w:rsidRDefault="00093A32" w:rsidP="00D5175C">
      <w:pPr>
        <w:jc w:val="both"/>
        <w:rPr>
          <w:b/>
          <w:sz w:val="28"/>
          <w:szCs w:val="28"/>
        </w:rPr>
      </w:pPr>
      <w:r w:rsidRPr="00093A32">
        <w:rPr>
          <w:b/>
          <w:noProof/>
          <w:sz w:val="28"/>
          <w:szCs w:val="28"/>
        </w:rPr>
        <w:drawing>
          <wp:inline distT="0" distB="0" distL="0" distR="0">
            <wp:extent cx="6210300" cy="2819400"/>
            <wp:effectExtent l="0" t="0" r="0" b="0"/>
            <wp:docPr id="4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97317" w:rsidRPr="00AE3022" w:rsidRDefault="00397317" w:rsidP="00397317">
      <w:pPr>
        <w:ind w:firstLine="708"/>
        <w:jc w:val="both"/>
        <w:rPr>
          <w:sz w:val="28"/>
          <w:szCs w:val="28"/>
        </w:rPr>
      </w:pPr>
      <w:r w:rsidRPr="00AE3022">
        <w:rPr>
          <w:sz w:val="28"/>
          <w:szCs w:val="28"/>
        </w:rPr>
        <w:t>35.</w:t>
      </w:r>
      <w:r w:rsidR="002C12BC" w:rsidRPr="00AE3022">
        <w:rPr>
          <w:sz w:val="28"/>
          <w:szCs w:val="28"/>
        </w:rPr>
        <w:t xml:space="preserve"> </w:t>
      </w:r>
      <w:r w:rsidRPr="00AE3022">
        <w:rPr>
          <w:sz w:val="28"/>
          <w:szCs w:val="28"/>
        </w:rPr>
        <w:t>Рынок добычи общераспространенных полезных ископаемых на участках недр местного значения.</w:t>
      </w:r>
    </w:p>
    <w:p w:rsidR="00C06E57" w:rsidRPr="002C12BC" w:rsidRDefault="00397317" w:rsidP="00397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сравнению с прошлым годом </w:t>
      </w:r>
      <w:r w:rsidR="00614168">
        <w:rPr>
          <w:sz w:val="28"/>
          <w:szCs w:val="28"/>
        </w:rPr>
        <w:t xml:space="preserve">практически не </w:t>
      </w:r>
      <w:r>
        <w:rPr>
          <w:sz w:val="28"/>
          <w:szCs w:val="28"/>
        </w:rPr>
        <w:t xml:space="preserve">увеличилось количество респондентов, которые  </w:t>
      </w:r>
      <w:r w:rsidRPr="000319A5">
        <w:rPr>
          <w:sz w:val="28"/>
          <w:szCs w:val="28"/>
        </w:rPr>
        <w:t xml:space="preserve">считают достаточным количество организаций, </w:t>
      </w:r>
      <w:r>
        <w:rPr>
          <w:sz w:val="28"/>
          <w:szCs w:val="28"/>
        </w:rPr>
        <w:t xml:space="preserve">осуществляющих деятельность </w:t>
      </w:r>
      <w:r w:rsidR="00A658E2">
        <w:rPr>
          <w:sz w:val="28"/>
          <w:szCs w:val="28"/>
        </w:rPr>
        <w:t xml:space="preserve">в данной сфере </w:t>
      </w:r>
      <w:r w:rsidR="00614168" w:rsidRPr="00614168">
        <w:rPr>
          <w:sz w:val="28"/>
          <w:szCs w:val="28"/>
        </w:rPr>
        <w:t>63,2</w:t>
      </w:r>
      <w:r w:rsidR="002C12BC">
        <w:rPr>
          <w:sz w:val="28"/>
          <w:szCs w:val="28"/>
        </w:rPr>
        <w:t>% (в 202</w:t>
      </w:r>
      <w:r w:rsidR="00CE3674">
        <w:rPr>
          <w:sz w:val="28"/>
          <w:szCs w:val="28"/>
        </w:rPr>
        <w:t>2</w:t>
      </w:r>
      <w:r w:rsidR="00A658E2">
        <w:rPr>
          <w:sz w:val="28"/>
          <w:szCs w:val="28"/>
        </w:rPr>
        <w:t xml:space="preserve"> году </w:t>
      </w:r>
      <w:r w:rsidR="002C12BC">
        <w:rPr>
          <w:sz w:val="28"/>
          <w:szCs w:val="28"/>
        </w:rPr>
        <w:t>–</w:t>
      </w:r>
      <w:r w:rsidR="00CE3674">
        <w:rPr>
          <w:sz w:val="28"/>
          <w:szCs w:val="28"/>
        </w:rPr>
        <w:t>59,4</w:t>
      </w:r>
      <w:r>
        <w:rPr>
          <w:sz w:val="28"/>
          <w:szCs w:val="28"/>
        </w:rPr>
        <w:t>%).</w:t>
      </w:r>
    </w:p>
    <w:p w:rsidR="00397317" w:rsidRDefault="00397317" w:rsidP="00397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618F">
        <w:rPr>
          <w:sz w:val="28"/>
          <w:szCs w:val="28"/>
        </w:rPr>
        <w:t>На рисунке 3</w:t>
      </w:r>
      <w:r>
        <w:rPr>
          <w:sz w:val="28"/>
          <w:szCs w:val="28"/>
        </w:rPr>
        <w:t>7</w:t>
      </w:r>
      <w:r w:rsidRPr="00BE618F">
        <w:rPr>
          <w:sz w:val="28"/>
          <w:szCs w:val="28"/>
        </w:rPr>
        <w:t xml:space="preserve"> отражено как сложилось мнение респондентов в отношении к ценообразованию, качеству и возможности выбора на </w:t>
      </w:r>
      <w:r>
        <w:rPr>
          <w:sz w:val="28"/>
          <w:szCs w:val="28"/>
        </w:rPr>
        <w:t xml:space="preserve">представленном </w:t>
      </w:r>
      <w:r w:rsidRPr="00BE618F">
        <w:rPr>
          <w:sz w:val="28"/>
          <w:szCs w:val="28"/>
        </w:rPr>
        <w:t xml:space="preserve"> рынке по сравнению с прошлым годом в процентном соотношении</w:t>
      </w:r>
      <w:r>
        <w:rPr>
          <w:sz w:val="28"/>
          <w:szCs w:val="28"/>
        </w:rPr>
        <w:t>.</w:t>
      </w:r>
    </w:p>
    <w:p w:rsidR="00C06E57" w:rsidRPr="0054644A" w:rsidRDefault="00397317" w:rsidP="0054644A">
      <w:pPr>
        <w:jc w:val="right"/>
        <w:rPr>
          <w:sz w:val="28"/>
          <w:szCs w:val="28"/>
        </w:rPr>
      </w:pPr>
      <w:r>
        <w:rPr>
          <w:sz w:val="28"/>
          <w:szCs w:val="28"/>
        </w:rPr>
        <w:t>Рисунок 37.</w:t>
      </w:r>
    </w:p>
    <w:p w:rsidR="00C06E57" w:rsidRDefault="00397317" w:rsidP="00D5175C">
      <w:pPr>
        <w:jc w:val="both"/>
        <w:rPr>
          <w:b/>
          <w:sz w:val="28"/>
          <w:szCs w:val="28"/>
        </w:rPr>
      </w:pPr>
      <w:r w:rsidRPr="00397317">
        <w:rPr>
          <w:b/>
          <w:noProof/>
          <w:sz w:val="28"/>
          <w:szCs w:val="28"/>
        </w:rPr>
        <w:drawing>
          <wp:inline distT="0" distB="0" distL="0" distR="0">
            <wp:extent cx="6210300" cy="2819400"/>
            <wp:effectExtent l="0" t="0" r="0" b="0"/>
            <wp:docPr id="4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316C4" w:rsidRPr="00614168" w:rsidRDefault="00B316C4" w:rsidP="00B316C4">
      <w:pPr>
        <w:pStyle w:val="a7"/>
        <w:shd w:val="clear" w:color="auto" w:fill="FFFFFF"/>
        <w:spacing w:after="75" w:line="300" w:lineRule="atLeast"/>
        <w:jc w:val="both"/>
        <w:textAlignment w:val="baseline"/>
        <w:rPr>
          <w:sz w:val="28"/>
          <w:szCs w:val="28"/>
        </w:rPr>
      </w:pPr>
      <w:r w:rsidRPr="00614168">
        <w:rPr>
          <w:sz w:val="28"/>
          <w:szCs w:val="28"/>
        </w:rPr>
        <w:lastRenderedPageBreak/>
        <w:t>36. Рынок нефтепродуктов.</w:t>
      </w:r>
    </w:p>
    <w:p w:rsidR="00C06E57" w:rsidRDefault="00D1615E" w:rsidP="00B316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16C4">
        <w:rPr>
          <w:sz w:val="28"/>
          <w:szCs w:val="28"/>
        </w:rPr>
        <w:t xml:space="preserve">По мнению </w:t>
      </w:r>
      <w:r w:rsidR="00614168">
        <w:rPr>
          <w:sz w:val="28"/>
          <w:szCs w:val="28"/>
        </w:rPr>
        <w:t>64</w:t>
      </w:r>
      <w:r>
        <w:rPr>
          <w:sz w:val="28"/>
          <w:szCs w:val="28"/>
        </w:rPr>
        <w:t xml:space="preserve"> % (</w:t>
      </w:r>
      <w:r w:rsidR="00A658E2">
        <w:rPr>
          <w:sz w:val="28"/>
          <w:szCs w:val="28"/>
        </w:rPr>
        <w:t xml:space="preserve">в </w:t>
      </w:r>
      <w:r w:rsidR="005873EB">
        <w:rPr>
          <w:sz w:val="28"/>
          <w:szCs w:val="28"/>
        </w:rPr>
        <w:t>202</w:t>
      </w:r>
      <w:r w:rsidR="000A15A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658E2">
        <w:rPr>
          <w:sz w:val="28"/>
          <w:szCs w:val="28"/>
        </w:rPr>
        <w:t>году</w:t>
      </w:r>
      <w:r w:rsidR="00B316C4">
        <w:rPr>
          <w:sz w:val="28"/>
          <w:szCs w:val="28"/>
        </w:rPr>
        <w:t xml:space="preserve"> </w:t>
      </w:r>
      <w:r w:rsidR="005873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5A4">
        <w:rPr>
          <w:sz w:val="28"/>
          <w:szCs w:val="28"/>
        </w:rPr>
        <w:t>56,9</w:t>
      </w:r>
      <w:r w:rsidR="005873EB">
        <w:rPr>
          <w:sz w:val="28"/>
          <w:szCs w:val="28"/>
        </w:rPr>
        <w:t xml:space="preserve"> </w:t>
      </w:r>
      <w:r w:rsidR="00B316C4">
        <w:rPr>
          <w:sz w:val="28"/>
          <w:szCs w:val="28"/>
        </w:rPr>
        <w:t>%) опрошенных рынок нефтепродуктов представлен предприятиями в достаточном количестве</w:t>
      </w:r>
      <w:r w:rsidR="002D1018">
        <w:rPr>
          <w:sz w:val="28"/>
          <w:szCs w:val="28"/>
        </w:rPr>
        <w:t xml:space="preserve">. </w:t>
      </w:r>
      <w:r w:rsidR="002E4AA8" w:rsidRPr="002E4AA8">
        <w:rPr>
          <w:sz w:val="28"/>
          <w:szCs w:val="28"/>
        </w:rPr>
        <w:t>31,2</w:t>
      </w:r>
      <w:r>
        <w:rPr>
          <w:sz w:val="28"/>
          <w:szCs w:val="28"/>
        </w:rPr>
        <w:t xml:space="preserve"> % (</w:t>
      </w:r>
      <w:r w:rsidR="00A658E2">
        <w:rPr>
          <w:sz w:val="28"/>
          <w:szCs w:val="28"/>
        </w:rPr>
        <w:t xml:space="preserve">в </w:t>
      </w:r>
      <w:r w:rsidR="002D1018">
        <w:rPr>
          <w:sz w:val="28"/>
          <w:szCs w:val="28"/>
        </w:rPr>
        <w:t>202</w:t>
      </w:r>
      <w:r w:rsidR="000A15A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658E2">
        <w:rPr>
          <w:sz w:val="28"/>
          <w:szCs w:val="28"/>
        </w:rPr>
        <w:t>году</w:t>
      </w:r>
      <w:r w:rsidR="00B316C4">
        <w:rPr>
          <w:sz w:val="28"/>
          <w:szCs w:val="28"/>
        </w:rPr>
        <w:t xml:space="preserve"> </w:t>
      </w:r>
      <w:r w:rsidR="002D1018">
        <w:rPr>
          <w:sz w:val="28"/>
          <w:szCs w:val="28"/>
        </w:rPr>
        <w:t xml:space="preserve">– </w:t>
      </w:r>
      <w:r w:rsidR="000A15A4">
        <w:rPr>
          <w:sz w:val="28"/>
          <w:szCs w:val="28"/>
        </w:rPr>
        <w:t>33,7</w:t>
      </w:r>
      <w:r w:rsidR="002D1018">
        <w:rPr>
          <w:sz w:val="28"/>
          <w:szCs w:val="28"/>
        </w:rPr>
        <w:t xml:space="preserve"> </w:t>
      </w:r>
      <w:r w:rsidR="00B316C4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респондентов </w:t>
      </w:r>
      <w:r w:rsidR="00B316C4">
        <w:rPr>
          <w:sz w:val="28"/>
          <w:szCs w:val="28"/>
        </w:rPr>
        <w:t>указал</w:t>
      </w:r>
      <w:r>
        <w:rPr>
          <w:sz w:val="28"/>
          <w:szCs w:val="28"/>
        </w:rPr>
        <w:t>и</w:t>
      </w:r>
      <w:r w:rsidR="00B316C4">
        <w:rPr>
          <w:sz w:val="28"/>
          <w:szCs w:val="28"/>
        </w:rPr>
        <w:t xml:space="preserve">, что существующих предприятий недостаточно для удовлетворения потребностей населения </w:t>
      </w:r>
      <w:r>
        <w:rPr>
          <w:sz w:val="28"/>
          <w:szCs w:val="28"/>
        </w:rPr>
        <w:t>округа</w:t>
      </w:r>
      <w:r w:rsidR="00B316C4">
        <w:rPr>
          <w:sz w:val="28"/>
          <w:szCs w:val="28"/>
        </w:rPr>
        <w:t xml:space="preserve">.  </w:t>
      </w:r>
    </w:p>
    <w:p w:rsidR="0054644A" w:rsidRDefault="0054644A" w:rsidP="00546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618F">
        <w:rPr>
          <w:sz w:val="28"/>
          <w:szCs w:val="28"/>
        </w:rPr>
        <w:t>На рисунке 3</w:t>
      </w:r>
      <w:r>
        <w:rPr>
          <w:sz w:val="28"/>
          <w:szCs w:val="28"/>
        </w:rPr>
        <w:t>8</w:t>
      </w:r>
      <w:r w:rsidRPr="00BE618F">
        <w:rPr>
          <w:sz w:val="28"/>
          <w:szCs w:val="28"/>
        </w:rPr>
        <w:t xml:space="preserve"> отражено</w:t>
      </w:r>
      <w:r>
        <w:rPr>
          <w:sz w:val="28"/>
          <w:szCs w:val="28"/>
        </w:rPr>
        <w:t xml:space="preserve"> наглядно</w:t>
      </w:r>
      <w:r w:rsidRPr="00BE618F">
        <w:rPr>
          <w:sz w:val="28"/>
          <w:szCs w:val="28"/>
        </w:rPr>
        <w:t xml:space="preserve"> как сложилось мнение респондентов в отношении к ценообразованию, качеству и возможности выбора на </w:t>
      </w:r>
      <w:r>
        <w:rPr>
          <w:sz w:val="28"/>
          <w:szCs w:val="28"/>
        </w:rPr>
        <w:t xml:space="preserve">представленном </w:t>
      </w:r>
      <w:r w:rsidRPr="00BE618F">
        <w:rPr>
          <w:sz w:val="28"/>
          <w:szCs w:val="28"/>
        </w:rPr>
        <w:t xml:space="preserve"> рынке по сравнению с прошлым годом в процентном соотношении</w:t>
      </w:r>
      <w:r>
        <w:rPr>
          <w:sz w:val="28"/>
          <w:szCs w:val="28"/>
        </w:rPr>
        <w:t>.</w:t>
      </w:r>
    </w:p>
    <w:p w:rsidR="00746C01" w:rsidRPr="0054644A" w:rsidRDefault="0054644A" w:rsidP="0054644A">
      <w:pPr>
        <w:jc w:val="right"/>
        <w:rPr>
          <w:sz w:val="28"/>
          <w:szCs w:val="28"/>
        </w:rPr>
      </w:pPr>
      <w:r>
        <w:rPr>
          <w:sz w:val="28"/>
          <w:szCs w:val="28"/>
        </w:rPr>
        <w:t>Рисунок 38.</w:t>
      </w:r>
    </w:p>
    <w:p w:rsidR="00746C01" w:rsidRDefault="0054644A" w:rsidP="00D5175C">
      <w:pPr>
        <w:jc w:val="both"/>
        <w:rPr>
          <w:b/>
          <w:sz w:val="28"/>
          <w:szCs w:val="28"/>
        </w:rPr>
      </w:pPr>
      <w:r w:rsidRPr="0054644A">
        <w:rPr>
          <w:b/>
          <w:noProof/>
          <w:sz w:val="28"/>
          <w:szCs w:val="28"/>
        </w:rPr>
        <w:drawing>
          <wp:inline distT="0" distB="0" distL="0" distR="0">
            <wp:extent cx="6210300" cy="2609850"/>
            <wp:effectExtent l="0" t="0" r="0" b="0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37241" w:rsidRPr="00614168" w:rsidRDefault="00656D86" w:rsidP="00437241">
      <w:pPr>
        <w:ind w:firstLine="708"/>
        <w:jc w:val="both"/>
        <w:rPr>
          <w:sz w:val="28"/>
          <w:szCs w:val="28"/>
        </w:rPr>
      </w:pPr>
      <w:r w:rsidRPr="00614168">
        <w:rPr>
          <w:sz w:val="28"/>
          <w:szCs w:val="28"/>
        </w:rPr>
        <w:t>37.Рынок легкой промышленности.</w:t>
      </w:r>
      <w:r w:rsidR="00437241" w:rsidRPr="00614168">
        <w:rPr>
          <w:sz w:val="28"/>
          <w:szCs w:val="28"/>
        </w:rPr>
        <w:t xml:space="preserve"> </w:t>
      </w:r>
    </w:p>
    <w:p w:rsidR="000914A6" w:rsidRDefault="00437241" w:rsidP="00656D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6D86">
        <w:rPr>
          <w:sz w:val="28"/>
          <w:szCs w:val="28"/>
        </w:rPr>
        <w:t>Потребителям достаточно трудно оценить данный рынок, в связи с тем, что в округе</w:t>
      </w:r>
      <w:r w:rsidR="00656D86" w:rsidRPr="001B5C54">
        <w:rPr>
          <w:sz w:val="28"/>
          <w:szCs w:val="28"/>
        </w:rPr>
        <w:t xml:space="preserve"> </w:t>
      </w:r>
      <w:r w:rsidR="00656D86">
        <w:rPr>
          <w:sz w:val="28"/>
          <w:szCs w:val="28"/>
        </w:rPr>
        <w:t xml:space="preserve">отсутствуют </w:t>
      </w:r>
      <w:r w:rsidR="00656D86" w:rsidRPr="002E4AA8">
        <w:rPr>
          <w:sz w:val="28"/>
          <w:szCs w:val="28"/>
        </w:rPr>
        <w:t xml:space="preserve">предприятия, осуществляющие деятельность в области легкой промышленности. Это отмечают </w:t>
      </w:r>
      <w:r w:rsidR="002E4AA8" w:rsidRPr="002E4AA8">
        <w:rPr>
          <w:sz w:val="28"/>
          <w:szCs w:val="28"/>
        </w:rPr>
        <w:t>52,6</w:t>
      </w:r>
      <w:r w:rsidRPr="002E4AA8">
        <w:rPr>
          <w:sz w:val="28"/>
          <w:szCs w:val="28"/>
        </w:rPr>
        <w:t xml:space="preserve"> % (в 202</w:t>
      </w:r>
      <w:r w:rsidR="005A5645" w:rsidRPr="002E4AA8">
        <w:rPr>
          <w:sz w:val="28"/>
          <w:szCs w:val="28"/>
        </w:rPr>
        <w:t>2</w:t>
      </w:r>
      <w:r w:rsidRPr="002E4AA8">
        <w:rPr>
          <w:sz w:val="28"/>
          <w:szCs w:val="28"/>
        </w:rPr>
        <w:t xml:space="preserve"> году </w:t>
      </w:r>
      <w:r w:rsidR="005A5645" w:rsidRPr="002E4AA8">
        <w:rPr>
          <w:sz w:val="28"/>
          <w:szCs w:val="28"/>
        </w:rPr>
        <w:t>–</w:t>
      </w:r>
      <w:r w:rsidRPr="002E4AA8">
        <w:rPr>
          <w:sz w:val="28"/>
          <w:szCs w:val="28"/>
        </w:rPr>
        <w:t xml:space="preserve"> </w:t>
      </w:r>
      <w:r w:rsidR="005A5645" w:rsidRPr="002E4AA8">
        <w:rPr>
          <w:sz w:val="28"/>
          <w:szCs w:val="28"/>
        </w:rPr>
        <w:t>50,0</w:t>
      </w:r>
      <w:r w:rsidR="00656D86" w:rsidRPr="002E4AA8">
        <w:rPr>
          <w:sz w:val="28"/>
          <w:szCs w:val="28"/>
        </w:rPr>
        <w:t xml:space="preserve"> %</w:t>
      </w:r>
      <w:r w:rsidRPr="002E4AA8">
        <w:rPr>
          <w:sz w:val="28"/>
          <w:szCs w:val="28"/>
        </w:rPr>
        <w:t>)</w:t>
      </w:r>
      <w:r w:rsidR="00656D86" w:rsidRPr="002E4AA8">
        <w:rPr>
          <w:sz w:val="28"/>
          <w:szCs w:val="28"/>
        </w:rPr>
        <w:t xml:space="preserve"> </w:t>
      </w:r>
      <w:r w:rsidRPr="002E4AA8">
        <w:rPr>
          <w:sz w:val="28"/>
          <w:szCs w:val="28"/>
        </w:rPr>
        <w:t>респондентов. Тем не менее, 3</w:t>
      </w:r>
      <w:r w:rsidR="008E1D8E" w:rsidRPr="002E4AA8">
        <w:rPr>
          <w:sz w:val="28"/>
          <w:szCs w:val="28"/>
        </w:rPr>
        <w:t>5</w:t>
      </w:r>
      <w:r w:rsidRPr="002E4AA8">
        <w:rPr>
          <w:sz w:val="28"/>
          <w:szCs w:val="28"/>
        </w:rPr>
        <w:t>,</w:t>
      </w:r>
      <w:r w:rsidR="008E1D8E" w:rsidRPr="002E4AA8">
        <w:rPr>
          <w:sz w:val="28"/>
          <w:szCs w:val="28"/>
        </w:rPr>
        <w:t>6</w:t>
      </w:r>
      <w:r w:rsidRPr="002E4AA8">
        <w:rPr>
          <w:sz w:val="28"/>
          <w:szCs w:val="28"/>
        </w:rPr>
        <w:t xml:space="preserve"> </w:t>
      </w:r>
      <w:r w:rsidR="00656D86" w:rsidRPr="002E4AA8">
        <w:rPr>
          <w:sz w:val="28"/>
          <w:szCs w:val="28"/>
        </w:rPr>
        <w:t>% (</w:t>
      </w:r>
      <w:r w:rsidRPr="002E4AA8">
        <w:rPr>
          <w:sz w:val="28"/>
          <w:szCs w:val="28"/>
        </w:rPr>
        <w:t>в 202</w:t>
      </w:r>
      <w:r w:rsidR="005A5645" w:rsidRPr="002E4AA8">
        <w:rPr>
          <w:sz w:val="28"/>
          <w:szCs w:val="28"/>
        </w:rPr>
        <w:t>2</w:t>
      </w:r>
      <w:r w:rsidR="00035FCA" w:rsidRPr="002E4AA8">
        <w:rPr>
          <w:sz w:val="28"/>
          <w:szCs w:val="28"/>
        </w:rPr>
        <w:t xml:space="preserve"> году </w:t>
      </w:r>
      <w:r w:rsidRPr="002E4AA8">
        <w:rPr>
          <w:sz w:val="28"/>
          <w:szCs w:val="28"/>
        </w:rPr>
        <w:t xml:space="preserve">– </w:t>
      </w:r>
      <w:r w:rsidR="005A5645" w:rsidRPr="002E4AA8">
        <w:rPr>
          <w:sz w:val="28"/>
          <w:szCs w:val="28"/>
        </w:rPr>
        <w:t>38,1</w:t>
      </w:r>
      <w:r w:rsidR="00656D86" w:rsidRPr="002E4AA8">
        <w:rPr>
          <w:sz w:val="28"/>
          <w:szCs w:val="28"/>
        </w:rPr>
        <w:t xml:space="preserve"> %) отмечают, что на рынке присутствует достаточное количество предприятий, </w:t>
      </w:r>
      <w:r w:rsidRPr="002E4AA8">
        <w:rPr>
          <w:sz w:val="28"/>
          <w:szCs w:val="28"/>
        </w:rPr>
        <w:t>11,</w:t>
      </w:r>
      <w:r w:rsidR="002E4AA8" w:rsidRPr="002E4AA8">
        <w:rPr>
          <w:sz w:val="28"/>
          <w:szCs w:val="28"/>
        </w:rPr>
        <w:t>3</w:t>
      </w:r>
      <w:r w:rsidRPr="002E4AA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(в 202</w:t>
      </w:r>
      <w:r w:rsidR="005A5645">
        <w:rPr>
          <w:sz w:val="28"/>
          <w:szCs w:val="28"/>
        </w:rPr>
        <w:t>2</w:t>
      </w:r>
      <w:r>
        <w:rPr>
          <w:sz w:val="28"/>
          <w:szCs w:val="28"/>
        </w:rPr>
        <w:t xml:space="preserve"> году-  </w:t>
      </w:r>
      <w:r w:rsidR="005A5645">
        <w:rPr>
          <w:sz w:val="28"/>
          <w:szCs w:val="28"/>
        </w:rPr>
        <w:t>11,9</w:t>
      </w:r>
      <w:r w:rsidR="00656D86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="00656D86">
        <w:rPr>
          <w:sz w:val="28"/>
          <w:szCs w:val="28"/>
        </w:rPr>
        <w:t xml:space="preserve"> затруднились оценить конкурентную среду рынка легкой промышленности.</w:t>
      </w:r>
    </w:p>
    <w:p w:rsidR="00A6676B" w:rsidRDefault="00656D86" w:rsidP="00D5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618F">
        <w:rPr>
          <w:sz w:val="28"/>
          <w:szCs w:val="28"/>
        </w:rPr>
        <w:t>На рисунке 3</w:t>
      </w:r>
      <w:r>
        <w:rPr>
          <w:sz w:val="28"/>
          <w:szCs w:val="28"/>
        </w:rPr>
        <w:t>9</w:t>
      </w:r>
      <w:r w:rsidRPr="00BE618F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</w:t>
      </w:r>
      <w:r w:rsidRPr="00BE618F">
        <w:rPr>
          <w:sz w:val="28"/>
          <w:szCs w:val="28"/>
        </w:rPr>
        <w:t xml:space="preserve"> отражено</w:t>
      </w:r>
      <w:r>
        <w:rPr>
          <w:sz w:val="28"/>
          <w:szCs w:val="28"/>
        </w:rPr>
        <w:t xml:space="preserve"> </w:t>
      </w:r>
      <w:r w:rsidRPr="00BE618F">
        <w:rPr>
          <w:sz w:val="28"/>
          <w:szCs w:val="28"/>
        </w:rPr>
        <w:t xml:space="preserve">как сложилось мнение респондентов в отношении к ценообразованию, качеству и возможности выбора на </w:t>
      </w:r>
      <w:r>
        <w:rPr>
          <w:sz w:val="28"/>
          <w:szCs w:val="28"/>
        </w:rPr>
        <w:t xml:space="preserve">представленном </w:t>
      </w:r>
      <w:r w:rsidRPr="00BE618F">
        <w:rPr>
          <w:sz w:val="28"/>
          <w:szCs w:val="28"/>
        </w:rPr>
        <w:t xml:space="preserve"> рынке по сравнению с прошлым годом в процентном соотношении</w:t>
      </w:r>
      <w:r>
        <w:rPr>
          <w:sz w:val="28"/>
          <w:szCs w:val="28"/>
        </w:rPr>
        <w:t xml:space="preserve">. </w:t>
      </w:r>
    </w:p>
    <w:p w:rsidR="00A6676B" w:rsidRDefault="00656D86" w:rsidP="00E52C8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Рисунок 39</w:t>
      </w:r>
      <w:r w:rsidR="00E52C8A">
        <w:rPr>
          <w:sz w:val="28"/>
          <w:szCs w:val="28"/>
        </w:rPr>
        <w:t>.</w:t>
      </w:r>
    </w:p>
    <w:p w:rsidR="009417C3" w:rsidRPr="00E52C8A" w:rsidRDefault="00656D86" w:rsidP="00E52C8A">
      <w:pPr>
        <w:jc w:val="both"/>
        <w:rPr>
          <w:b/>
          <w:sz w:val="28"/>
          <w:szCs w:val="28"/>
        </w:rPr>
      </w:pPr>
      <w:r w:rsidRPr="00656D86">
        <w:rPr>
          <w:b/>
          <w:noProof/>
          <w:sz w:val="28"/>
          <w:szCs w:val="28"/>
        </w:rPr>
        <w:drawing>
          <wp:inline distT="0" distB="0" distL="0" distR="0">
            <wp:extent cx="6210300" cy="2200275"/>
            <wp:effectExtent l="0" t="0" r="0" b="0"/>
            <wp:docPr id="4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06174C" w:rsidRPr="008E1D8E" w:rsidRDefault="00305D00" w:rsidP="00305D00">
      <w:pPr>
        <w:shd w:val="clear" w:color="auto" w:fill="FFFFFF"/>
        <w:spacing w:after="75" w:line="300" w:lineRule="atLeast"/>
        <w:jc w:val="both"/>
        <w:textAlignment w:val="baseline"/>
        <w:rPr>
          <w:sz w:val="28"/>
          <w:szCs w:val="28"/>
        </w:rPr>
      </w:pPr>
      <w:r w:rsidRPr="008E1D8E">
        <w:rPr>
          <w:sz w:val="28"/>
          <w:szCs w:val="28"/>
        </w:rPr>
        <w:lastRenderedPageBreak/>
        <w:t xml:space="preserve">          </w:t>
      </w:r>
      <w:r w:rsidR="0006174C" w:rsidRPr="008E1D8E">
        <w:rPr>
          <w:sz w:val="28"/>
          <w:szCs w:val="28"/>
        </w:rPr>
        <w:t>38. Рынок обработки древесины и производства изделий из дерева.</w:t>
      </w:r>
    </w:p>
    <w:p w:rsidR="0006174C" w:rsidRPr="002E4AA8" w:rsidRDefault="0006174C" w:rsidP="0006174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F1802">
        <w:rPr>
          <w:sz w:val="28"/>
          <w:szCs w:val="28"/>
        </w:rPr>
        <w:t xml:space="preserve">Ситуация с рынком услуг обработки </w:t>
      </w:r>
      <w:r w:rsidRPr="002E4AA8">
        <w:rPr>
          <w:sz w:val="28"/>
          <w:szCs w:val="28"/>
        </w:rPr>
        <w:t xml:space="preserve">древесины и производства изделий из дерева схожа с рынком легкой промышленности. </w:t>
      </w:r>
      <w:r w:rsidR="00C65A1B" w:rsidRPr="002E4AA8">
        <w:rPr>
          <w:sz w:val="28"/>
          <w:szCs w:val="28"/>
        </w:rPr>
        <w:t>73,</w:t>
      </w:r>
      <w:r w:rsidR="002E4AA8" w:rsidRPr="002E4AA8">
        <w:rPr>
          <w:sz w:val="28"/>
          <w:szCs w:val="28"/>
        </w:rPr>
        <w:t>1</w:t>
      </w:r>
      <w:r w:rsidR="00C65A1B" w:rsidRPr="002E4AA8">
        <w:rPr>
          <w:sz w:val="28"/>
          <w:szCs w:val="28"/>
        </w:rPr>
        <w:t xml:space="preserve"> % (в 202</w:t>
      </w:r>
      <w:r w:rsidR="005A5645" w:rsidRPr="002E4AA8">
        <w:rPr>
          <w:sz w:val="28"/>
          <w:szCs w:val="28"/>
        </w:rPr>
        <w:t>2</w:t>
      </w:r>
      <w:r w:rsidR="00C65A1B" w:rsidRPr="002E4AA8">
        <w:rPr>
          <w:sz w:val="28"/>
          <w:szCs w:val="28"/>
        </w:rPr>
        <w:t xml:space="preserve"> году </w:t>
      </w:r>
      <w:r w:rsidR="005A5645" w:rsidRPr="002E4AA8">
        <w:rPr>
          <w:sz w:val="28"/>
          <w:szCs w:val="28"/>
        </w:rPr>
        <w:t>–</w:t>
      </w:r>
      <w:r w:rsidR="00C65A1B" w:rsidRPr="002E4AA8">
        <w:rPr>
          <w:sz w:val="28"/>
          <w:szCs w:val="28"/>
        </w:rPr>
        <w:t xml:space="preserve"> </w:t>
      </w:r>
      <w:r w:rsidR="005A5645" w:rsidRPr="002E4AA8">
        <w:rPr>
          <w:sz w:val="28"/>
          <w:szCs w:val="28"/>
        </w:rPr>
        <w:t>73,3</w:t>
      </w:r>
      <w:r w:rsidRPr="002E4AA8">
        <w:rPr>
          <w:sz w:val="28"/>
          <w:szCs w:val="28"/>
        </w:rPr>
        <w:t xml:space="preserve"> %</w:t>
      </w:r>
      <w:r w:rsidR="00C65A1B" w:rsidRPr="002E4AA8">
        <w:rPr>
          <w:sz w:val="28"/>
          <w:szCs w:val="28"/>
        </w:rPr>
        <w:t>)</w:t>
      </w:r>
      <w:r w:rsidRPr="002E4AA8">
        <w:rPr>
          <w:sz w:val="28"/>
          <w:szCs w:val="28"/>
        </w:rPr>
        <w:t xml:space="preserve"> респондентов считают, что в округе отсутствуют предприятия, осуществляющие деятельность в области обработки древесины и производства издели</w:t>
      </w:r>
      <w:r w:rsidR="00C65A1B" w:rsidRPr="002E4AA8">
        <w:rPr>
          <w:sz w:val="28"/>
          <w:szCs w:val="28"/>
        </w:rPr>
        <w:t>й из дерева.  Тем не менее, 12,</w:t>
      </w:r>
      <w:r w:rsidR="008E1D8E" w:rsidRPr="002E4AA8">
        <w:rPr>
          <w:sz w:val="28"/>
          <w:szCs w:val="28"/>
        </w:rPr>
        <w:t>6</w:t>
      </w:r>
      <w:r w:rsidRPr="002E4AA8">
        <w:rPr>
          <w:sz w:val="28"/>
          <w:szCs w:val="28"/>
        </w:rPr>
        <w:t xml:space="preserve"> % (</w:t>
      </w:r>
      <w:r w:rsidR="00C65A1B" w:rsidRPr="002E4AA8">
        <w:rPr>
          <w:sz w:val="28"/>
          <w:szCs w:val="28"/>
        </w:rPr>
        <w:t>в 202</w:t>
      </w:r>
      <w:r w:rsidR="005A5645" w:rsidRPr="002E4AA8">
        <w:rPr>
          <w:sz w:val="28"/>
          <w:szCs w:val="28"/>
        </w:rPr>
        <w:t>2</w:t>
      </w:r>
      <w:r w:rsidR="00035FCA" w:rsidRPr="002E4AA8">
        <w:rPr>
          <w:sz w:val="28"/>
          <w:szCs w:val="28"/>
        </w:rPr>
        <w:t xml:space="preserve"> году</w:t>
      </w:r>
      <w:r w:rsidRPr="002E4AA8">
        <w:rPr>
          <w:sz w:val="28"/>
          <w:szCs w:val="28"/>
        </w:rPr>
        <w:t xml:space="preserve"> </w:t>
      </w:r>
      <w:r w:rsidR="00C65A1B" w:rsidRPr="002E4AA8">
        <w:rPr>
          <w:sz w:val="28"/>
          <w:szCs w:val="28"/>
        </w:rPr>
        <w:t>–</w:t>
      </w:r>
      <w:r w:rsidRPr="002E4AA8">
        <w:rPr>
          <w:sz w:val="28"/>
          <w:szCs w:val="28"/>
        </w:rPr>
        <w:t xml:space="preserve"> </w:t>
      </w:r>
      <w:r w:rsidR="005A5645" w:rsidRPr="002E4AA8">
        <w:rPr>
          <w:sz w:val="28"/>
          <w:szCs w:val="28"/>
        </w:rPr>
        <w:t>12,4</w:t>
      </w:r>
      <w:r w:rsidRPr="002E4AA8">
        <w:rPr>
          <w:sz w:val="28"/>
          <w:szCs w:val="28"/>
        </w:rPr>
        <w:t xml:space="preserve"> %) отмечают, что на рынке присутствует достаточное количество пред</w:t>
      </w:r>
      <w:r w:rsidR="007F1802" w:rsidRPr="002E4AA8">
        <w:rPr>
          <w:sz w:val="28"/>
          <w:szCs w:val="28"/>
        </w:rPr>
        <w:t>приятий</w:t>
      </w:r>
      <w:r w:rsidRPr="002E4AA8">
        <w:rPr>
          <w:sz w:val="28"/>
          <w:szCs w:val="28"/>
        </w:rPr>
        <w:t xml:space="preserve">, </w:t>
      </w:r>
      <w:r w:rsidR="002E4AA8" w:rsidRPr="002E4AA8">
        <w:rPr>
          <w:sz w:val="28"/>
          <w:szCs w:val="28"/>
        </w:rPr>
        <w:t>12,6</w:t>
      </w:r>
      <w:r w:rsidR="0000495B" w:rsidRPr="002E4AA8">
        <w:rPr>
          <w:sz w:val="28"/>
          <w:szCs w:val="28"/>
        </w:rPr>
        <w:t xml:space="preserve"> % (</w:t>
      </w:r>
      <w:r w:rsidR="00C65A1B" w:rsidRPr="002E4AA8">
        <w:rPr>
          <w:sz w:val="28"/>
          <w:szCs w:val="28"/>
        </w:rPr>
        <w:t>в 202</w:t>
      </w:r>
      <w:r w:rsidR="005A5645" w:rsidRPr="002E4AA8">
        <w:rPr>
          <w:sz w:val="28"/>
          <w:szCs w:val="28"/>
        </w:rPr>
        <w:t>2</w:t>
      </w:r>
      <w:r w:rsidR="00C65A1B" w:rsidRPr="002E4AA8">
        <w:rPr>
          <w:sz w:val="28"/>
          <w:szCs w:val="28"/>
        </w:rPr>
        <w:t xml:space="preserve"> году -</w:t>
      </w:r>
      <w:r w:rsidR="005A5645" w:rsidRPr="002E4AA8">
        <w:rPr>
          <w:sz w:val="28"/>
          <w:szCs w:val="28"/>
        </w:rPr>
        <w:t>1</w:t>
      </w:r>
      <w:r w:rsidRPr="002E4AA8">
        <w:rPr>
          <w:sz w:val="28"/>
          <w:szCs w:val="28"/>
        </w:rPr>
        <w:t>4,</w:t>
      </w:r>
      <w:r w:rsidR="005A5645" w:rsidRPr="002E4AA8">
        <w:rPr>
          <w:sz w:val="28"/>
          <w:szCs w:val="28"/>
        </w:rPr>
        <w:t>6</w:t>
      </w:r>
      <w:r w:rsidRPr="002E4AA8">
        <w:rPr>
          <w:sz w:val="28"/>
          <w:szCs w:val="28"/>
        </w:rPr>
        <w:t xml:space="preserve"> %</w:t>
      </w:r>
      <w:r w:rsidR="00C65A1B" w:rsidRPr="002E4AA8">
        <w:rPr>
          <w:sz w:val="28"/>
          <w:szCs w:val="28"/>
        </w:rPr>
        <w:t>)</w:t>
      </w:r>
      <w:r w:rsidRPr="002E4AA8">
        <w:rPr>
          <w:sz w:val="28"/>
          <w:szCs w:val="28"/>
        </w:rPr>
        <w:t xml:space="preserve"> затруднились оценить конкурентную среду рынка по обработке древесины и производства изделий из дерева.</w:t>
      </w:r>
    </w:p>
    <w:p w:rsidR="00E52C8A" w:rsidRDefault="0006174C" w:rsidP="008E1D8E">
      <w:pPr>
        <w:jc w:val="both"/>
        <w:rPr>
          <w:sz w:val="28"/>
          <w:szCs w:val="28"/>
        </w:rPr>
      </w:pPr>
      <w:r w:rsidRPr="007F1802">
        <w:rPr>
          <w:sz w:val="28"/>
          <w:szCs w:val="28"/>
        </w:rPr>
        <w:t xml:space="preserve">          На рисунке 40 наглядно отражено как сложилось мнение респондентов в отношении к ценообразованию, качеству и возможности выбора на представленном  рынке по сравнению с прошлым годом в процентном соотношении. </w:t>
      </w:r>
    </w:p>
    <w:p w:rsidR="004C0840" w:rsidRDefault="0006174C" w:rsidP="008E1D8E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06174C">
        <w:rPr>
          <w:sz w:val="28"/>
          <w:szCs w:val="28"/>
        </w:rPr>
        <w:t>Рисунок 40</w:t>
      </w:r>
      <w:r>
        <w:rPr>
          <w:b/>
          <w:sz w:val="28"/>
          <w:szCs w:val="28"/>
        </w:rPr>
        <w:t>.</w:t>
      </w:r>
      <w:r w:rsidRPr="0006174C">
        <w:rPr>
          <w:b/>
          <w:noProof/>
          <w:sz w:val="28"/>
          <w:szCs w:val="28"/>
        </w:rPr>
        <w:drawing>
          <wp:inline distT="0" distB="0" distL="0" distR="0">
            <wp:extent cx="6210300" cy="2381250"/>
            <wp:effectExtent l="0" t="0" r="0" b="0"/>
            <wp:docPr id="5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4C0840" w:rsidRPr="008E1D8E" w:rsidRDefault="00305D00" w:rsidP="00900A24">
      <w:pPr>
        <w:jc w:val="both"/>
        <w:rPr>
          <w:b/>
          <w:sz w:val="28"/>
          <w:szCs w:val="28"/>
        </w:rPr>
      </w:pPr>
      <w:r w:rsidRPr="0038789C">
        <w:rPr>
          <w:color w:val="FF0000"/>
          <w:sz w:val="28"/>
          <w:szCs w:val="28"/>
        </w:rPr>
        <w:t xml:space="preserve">         </w:t>
      </w:r>
      <w:r w:rsidR="004716DE" w:rsidRPr="008E1D8E">
        <w:rPr>
          <w:sz w:val="28"/>
          <w:szCs w:val="28"/>
        </w:rPr>
        <w:t>39. Рынок производства кирпича.</w:t>
      </w:r>
    </w:p>
    <w:p w:rsidR="00500339" w:rsidRPr="002E4AA8" w:rsidRDefault="00305D00" w:rsidP="005003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0339">
        <w:rPr>
          <w:sz w:val="28"/>
          <w:szCs w:val="28"/>
        </w:rPr>
        <w:t xml:space="preserve">По мнению </w:t>
      </w:r>
      <w:r w:rsidR="0000495B" w:rsidRPr="008E1D8E">
        <w:rPr>
          <w:sz w:val="28"/>
          <w:szCs w:val="28"/>
        </w:rPr>
        <w:t>1</w:t>
      </w:r>
      <w:r w:rsidR="008E1D8E" w:rsidRPr="008E1D8E">
        <w:rPr>
          <w:sz w:val="28"/>
          <w:szCs w:val="28"/>
        </w:rPr>
        <w:t>2</w:t>
      </w:r>
      <w:r w:rsidR="0000495B" w:rsidRPr="008E1D8E">
        <w:rPr>
          <w:sz w:val="28"/>
          <w:szCs w:val="28"/>
        </w:rPr>
        <w:t>,</w:t>
      </w:r>
      <w:r w:rsidR="008E1D8E" w:rsidRPr="008E1D8E">
        <w:rPr>
          <w:sz w:val="28"/>
          <w:szCs w:val="28"/>
        </w:rPr>
        <w:t>3</w:t>
      </w:r>
      <w:r w:rsidR="00500339">
        <w:rPr>
          <w:sz w:val="28"/>
          <w:szCs w:val="28"/>
        </w:rPr>
        <w:t xml:space="preserve"> % (</w:t>
      </w:r>
      <w:r w:rsidR="0000495B">
        <w:rPr>
          <w:sz w:val="28"/>
          <w:szCs w:val="28"/>
        </w:rPr>
        <w:t>в 202</w:t>
      </w:r>
      <w:r w:rsidR="0038789C">
        <w:rPr>
          <w:sz w:val="28"/>
          <w:szCs w:val="28"/>
        </w:rPr>
        <w:t>2</w:t>
      </w:r>
      <w:r w:rsidR="00035FCA">
        <w:rPr>
          <w:sz w:val="28"/>
          <w:szCs w:val="28"/>
        </w:rPr>
        <w:t xml:space="preserve"> году </w:t>
      </w:r>
      <w:r w:rsidR="0000495B">
        <w:rPr>
          <w:sz w:val="28"/>
          <w:szCs w:val="28"/>
        </w:rPr>
        <w:t>–</w:t>
      </w:r>
      <w:r w:rsidR="0038789C">
        <w:rPr>
          <w:sz w:val="28"/>
          <w:szCs w:val="28"/>
        </w:rPr>
        <w:t>11</w:t>
      </w:r>
      <w:r w:rsidR="0000495B">
        <w:rPr>
          <w:sz w:val="28"/>
          <w:szCs w:val="28"/>
        </w:rPr>
        <w:t>,4</w:t>
      </w:r>
      <w:r w:rsidR="00500339">
        <w:rPr>
          <w:sz w:val="28"/>
          <w:szCs w:val="28"/>
        </w:rPr>
        <w:t xml:space="preserve"> %) </w:t>
      </w:r>
      <w:proofErr w:type="gramStart"/>
      <w:r w:rsidR="00500339">
        <w:rPr>
          <w:sz w:val="28"/>
          <w:szCs w:val="28"/>
        </w:rPr>
        <w:t>опрошенных</w:t>
      </w:r>
      <w:proofErr w:type="gramEnd"/>
      <w:r w:rsidR="00500339">
        <w:rPr>
          <w:sz w:val="28"/>
          <w:szCs w:val="28"/>
        </w:rPr>
        <w:t xml:space="preserve"> рынок </w:t>
      </w:r>
      <w:r w:rsidR="00500339" w:rsidRPr="00500339">
        <w:rPr>
          <w:sz w:val="28"/>
          <w:szCs w:val="28"/>
        </w:rPr>
        <w:t>производства кирпича</w:t>
      </w:r>
      <w:r w:rsidR="00500339">
        <w:rPr>
          <w:sz w:val="28"/>
          <w:szCs w:val="28"/>
        </w:rPr>
        <w:t xml:space="preserve"> представлен предприятиями в </w:t>
      </w:r>
      <w:r w:rsidR="0000495B" w:rsidRPr="002E4AA8">
        <w:rPr>
          <w:sz w:val="28"/>
          <w:szCs w:val="28"/>
        </w:rPr>
        <w:t xml:space="preserve">достаточном количестве. Однако </w:t>
      </w:r>
      <w:r w:rsidR="002E4AA8" w:rsidRPr="002E4AA8">
        <w:rPr>
          <w:sz w:val="28"/>
          <w:szCs w:val="28"/>
        </w:rPr>
        <w:t>73,9</w:t>
      </w:r>
      <w:r w:rsidR="00500339" w:rsidRPr="002E4AA8">
        <w:rPr>
          <w:sz w:val="28"/>
          <w:szCs w:val="28"/>
        </w:rPr>
        <w:t xml:space="preserve"> % (</w:t>
      </w:r>
      <w:r w:rsidR="0000495B" w:rsidRPr="002E4AA8">
        <w:rPr>
          <w:sz w:val="28"/>
          <w:szCs w:val="28"/>
        </w:rPr>
        <w:t>в 202</w:t>
      </w:r>
      <w:r w:rsidR="0038789C" w:rsidRPr="002E4AA8">
        <w:rPr>
          <w:sz w:val="28"/>
          <w:szCs w:val="28"/>
        </w:rPr>
        <w:t>2</w:t>
      </w:r>
      <w:r w:rsidR="00035FCA" w:rsidRPr="002E4AA8">
        <w:rPr>
          <w:sz w:val="28"/>
          <w:szCs w:val="28"/>
        </w:rPr>
        <w:t xml:space="preserve"> году </w:t>
      </w:r>
      <w:r w:rsidR="0000495B" w:rsidRPr="002E4AA8">
        <w:rPr>
          <w:sz w:val="28"/>
          <w:szCs w:val="28"/>
        </w:rPr>
        <w:t>–</w:t>
      </w:r>
      <w:r w:rsidR="00500339" w:rsidRPr="002E4AA8">
        <w:rPr>
          <w:sz w:val="28"/>
          <w:szCs w:val="28"/>
        </w:rPr>
        <w:t xml:space="preserve"> </w:t>
      </w:r>
      <w:r w:rsidR="0000495B" w:rsidRPr="002E4AA8">
        <w:rPr>
          <w:sz w:val="28"/>
          <w:szCs w:val="28"/>
        </w:rPr>
        <w:t>7</w:t>
      </w:r>
      <w:r w:rsidR="0038789C" w:rsidRPr="002E4AA8">
        <w:rPr>
          <w:sz w:val="28"/>
          <w:szCs w:val="28"/>
        </w:rPr>
        <w:t>4,8</w:t>
      </w:r>
      <w:r w:rsidR="00500339" w:rsidRPr="002E4AA8">
        <w:rPr>
          <w:sz w:val="28"/>
          <w:szCs w:val="28"/>
        </w:rPr>
        <w:t xml:space="preserve"> %) респондентов указали, что существующих предприятий недостаточно ил</w:t>
      </w:r>
      <w:r w:rsidR="0000495B" w:rsidRPr="002E4AA8">
        <w:rPr>
          <w:sz w:val="28"/>
          <w:szCs w:val="28"/>
        </w:rPr>
        <w:t xml:space="preserve">и же они совсем отсутствую, </w:t>
      </w:r>
      <w:r w:rsidR="002E4AA8" w:rsidRPr="002E4AA8">
        <w:rPr>
          <w:sz w:val="28"/>
          <w:szCs w:val="28"/>
        </w:rPr>
        <w:t>12,3</w:t>
      </w:r>
      <w:r w:rsidR="00500339" w:rsidRPr="002E4AA8">
        <w:rPr>
          <w:sz w:val="28"/>
          <w:szCs w:val="28"/>
        </w:rPr>
        <w:t xml:space="preserve"> % (</w:t>
      </w:r>
      <w:r w:rsidR="00035FCA" w:rsidRPr="002E4AA8">
        <w:rPr>
          <w:sz w:val="28"/>
          <w:szCs w:val="28"/>
        </w:rPr>
        <w:t xml:space="preserve">в </w:t>
      </w:r>
      <w:r w:rsidR="0000495B" w:rsidRPr="002E4AA8">
        <w:rPr>
          <w:sz w:val="28"/>
          <w:szCs w:val="28"/>
        </w:rPr>
        <w:t>202</w:t>
      </w:r>
      <w:r w:rsidR="0038789C" w:rsidRPr="002E4AA8">
        <w:rPr>
          <w:sz w:val="28"/>
          <w:szCs w:val="28"/>
        </w:rPr>
        <w:t>2</w:t>
      </w:r>
      <w:r w:rsidR="00500339" w:rsidRPr="002E4AA8">
        <w:rPr>
          <w:sz w:val="28"/>
          <w:szCs w:val="28"/>
        </w:rPr>
        <w:t xml:space="preserve"> г</w:t>
      </w:r>
      <w:r w:rsidR="00035FCA" w:rsidRPr="002E4AA8">
        <w:rPr>
          <w:sz w:val="28"/>
          <w:szCs w:val="28"/>
        </w:rPr>
        <w:t xml:space="preserve">оду </w:t>
      </w:r>
      <w:r w:rsidR="0000495B" w:rsidRPr="002E4AA8">
        <w:rPr>
          <w:sz w:val="28"/>
          <w:szCs w:val="28"/>
        </w:rPr>
        <w:t>–</w:t>
      </w:r>
      <w:r w:rsidR="00500339" w:rsidRPr="002E4AA8">
        <w:rPr>
          <w:sz w:val="28"/>
          <w:szCs w:val="28"/>
        </w:rPr>
        <w:t xml:space="preserve"> </w:t>
      </w:r>
      <w:r w:rsidR="0000495B" w:rsidRPr="002E4AA8">
        <w:rPr>
          <w:sz w:val="28"/>
          <w:szCs w:val="28"/>
        </w:rPr>
        <w:t>1</w:t>
      </w:r>
      <w:r w:rsidR="0038789C" w:rsidRPr="002E4AA8">
        <w:rPr>
          <w:sz w:val="28"/>
          <w:szCs w:val="28"/>
        </w:rPr>
        <w:t>3,8</w:t>
      </w:r>
      <w:r w:rsidR="00500339" w:rsidRPr="002E4AA8">
        <w:rPr>
          <w:sz w:val="28"/>
          <w:szCs w:val="28"/>
        </w:rPr>
        <w:t xml:space="preserve"> %)</w:t>
      </w:r>
      <w:r w:rsidR="00A37563" w:rsidRPr="002E4AA8">
        <w:rPr>
          <w:sz w:val="27"/>
          <w:szCs w:val="27"/>
        </w:rPr>
        <w:t xml:space="preserve"> </w:t>
      </w:r>
      <w:r w:rsidR="00A37563" w:rsidRPr="002E4AA8">
        <w:rPr>
          <w:sz w:val="28"/>
          <w:szCs w:val="28"/>
        </w:rPr>
        <w:t>затруднились оценить конкурентную среду представленного рынка.</w:t>
      </w:r>
    </w:p>
    <w:p w:rsidR="00500339" w:rsidRDefault="00500339" w:rsidP="00500339">
      <w:pPr>
        <w:jc w:val="both"/>
        <w:rPr>
          <w:sz w:val="28"/>
          <w:szCs w:val="28"/>
        </w:rPr>
      </w:pPr>
      <w:r w:rsidRPr="002E4AA8">
        <w:rPr>
          <w:sz w:val="28"/>
          <w:szCs w:val="28"/>
        </w:rPr>
        <w:t xml:space="preserve">          На рисунке 3</w:t>
      </w:r>
      <w:r w:rsidR="00A37563" w:rsidRPr="002E4AA8">
        <w:rPr>
          <w:sz w:val="28"/>
          <w:szCs w:val="28"/>
        </w:rPr>
        <w:t>9</w:t>
      </w:r>
      <w:r w:rsidRPr="002E4AA8">
        <w:rPr>
          <w:sz w:val="28"/>
          <w:szCs w:val="28"/>
        </w:rPr>
        <w:t xml:space="preserve"> отражено наглядно как сложилось</w:t>
      </w:r>
      <w:r w:rsidRPr="00BE618F">
        <w:rPr>
          <w:sz w:val="28"/>
          <w:szCs w:val="28"/>
        </w:rPr>
        <w:t xml:space="preserve"> мнение респондентов в отношении к ценообразованию, качеству и возможности выбора на </w:t>
      </w:r>
      <w:r>
        <w:rPr>
          <w:sz w:val="28"/>
          <w:szCs w:val="28"/>
        </w:rPr>
        <w:t xml:space="preserve">представленном </w:t>
      </w:r>
      <w:r w:rsidRPr="00BE618F">
        <w:rPr>
          <w:sz w:val="28"/>
          <w:szCs w:val="28"/>
        </w:rPr>
        <w:t xml:space="preserve"> рынке по сравнению с прошлым годом в процентном соотношении</w:t>
      </w:r>
      <w:r>
        <w:rPr>
          <w:sz w:val="28"/>
          <w:szCs w:val="28"/>
        </w:rPr>
        <w:t>.</w:t>
      </w:r>
    </w:p>
    <w:p w:rsidR="00A37563" w:rsidRDefault="00A37563" w:rsidP="00A37563">
      <w:pPr>
        <w:jc w:val="right"/>
        <w:rPr>
          <w:sz w:val="28"/>
          <w:szCs w:val="28"/>
        </w:rPr>
      </w:pPr>
      <w:r>
        <w:rPr>
          <w:sz w:val="28"/>
          <w:szCs w:val="28"/>
        </w:rPr>
        <w:t>Рисунок 41.</w:t>
      </w:r>
    </w:p>
    <w:p w:rsidR="004C0840" w:rsidRDefault="00A37563" w:rsidP="00900A24">
      <w:pPr>
        <w:jc w:val="both"/>
        <w:rPr>
          <w:b/>
          <w:sz w:val="28"/>
          <w:szCs w:val="28"/>
        </w:rPr>
      </w:pPr>
      <w:r w:rsidRPr="00A37563">
        <w:rPr>
          <w:b/>
          <w:noProof/>
          <w:sz w:val="28"/>
          <w:szCs w:val="28"/>
        </w:rPr>
        <w:drawing>
          <wp:inline distT="0" distB="0" distL="0" distR="0">
            <wp:extent cx="6210300" cy="2076450"/>
            <wp:effectExtent l="0" t="0" r="0" b="0"/>
            <wp:docPr id="5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C0840" w:rsidRPr="008E1D8E" w:rsidRDefault="00305D00" w:rsidP="00900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8E1D8E">
        <w:rPr>
          <w:sz w:val="28"/>
          <w:szCs w:val="28"/>
        </w:rPr>
        <w:t>40. Рынок производства бетона.</w:t>
      </w:r>
    </w:p>
    <w:p w:rsidR="00305D00" w:rsidRDefault="00305D00" w:rsidP="00305D00">
      <w:pPr>
        <w:jc w:val="both"/>
        <w:rPr>
          <w:b/>
          <w:sz w:val="28"/>
          <w:szCs w:val="28"/>
        </w:rPr>
      </w:pPr>
      <w:r w:rsidRPr="00F366EB">
        <w:rPr>
          <w:sz w:val="28"/>
          <w:szCs w:val="28"/>
        </w:rPr>
        <w:t xml:space="preserve">          </w:t>
      </w:r>
      <w:proofErr w:type="gramStart"/>
      <w:r w:rsidRPr="00F366EB">
        <w:rPr>
          <w:sz w:val="28"/>
          <w:szCs w:val="28"/>
        </w:rPr>
        <w:t xml:space="preserve">Потребителям достаточно трудно оценить данный рынок, в связи с этим </w:t>
      </w:r>
      <w:r w:rsidR="00F366EB" w:rsidRPr="00F366EB">
        <w:rPr>
          <w:sz w:val="28"/>
          <w:szCs w:val="28"/>
        </w:rPr>
        <w:t>72,7</w:t>
      </w:r>
      <w:r w:rsidRPr="00F366EB">
        <w:rPr>
          <w:sz w:val="28"/>
          <w:szCs w:val="28"/>
        </w:rPr>
        <w:t xml:space="preserve"> %</w:t>
      </w:r>
      <w:r w:rsidR="007F1802" w:rsidRPr="00F366EB">
        <w:rPr>
          <w:sz w:val="28"/>
          <w:szCs w:val="28"/>
        </w:rPr>
        <w:t xml:space="preserve"> (</w:t>
      </w:r>
      <w:r w:rsidR="0001157D" w:rsidRPr="00F366EB">
        <w:rPr>
          <w:sz w:val="28"/>
          <w:szCs w:val="28"/>
        </w:rPr>
        <w:t>в 202</w:t>
      </w:r>
      <w:r w:rsidR="00696301" w:rsidRPr="00F366EB">
        <w:rPr>
          <w:sz w:val="28"/>
          <w:szCs w:val="28"/>
        </w:rPr>
        <w:t>2</w:t>
      </w:r>
      <w:r w:rsidR="00035FCA" w:rsidRPr="00F366EB">
        <w:rPr>
          <w:sz w:val="28"/>
          <w:szCs w:val="28"/>
        </w:rPr>
        <w:t xml:space="preserve"> году </w:t>
      </w:r>
      <w:r w:rsidR="0001157D" w:rsidRPr="00F366EB">
        <w:rPr>
          <w:sz w:val="28"/>
          <w:szCs w:val="28"/>
        </w:rPr>
        <w:t>–</w:t>
      </w:r>
      <w:r w:rsidR="00035FCA" w:rsidRPr="00F366EB">
        <w:rPr>
          <w:sz w:val="28"/>
          <w:szCs w:val="28"/>
        </w:rPr>
        <w:t xml:space="preserve"> </w:t>
      </w:r>
      <w:r w:rsidR="00696301" w:rsidRPr="00F366EB">
        <w:rPr>
          <w:sz w:val="28"/>
          <w:szCs w:val="28"/>
        </w:rPr>
        <w:t>73,7</w:t>
      </w:r>
      <w:r w:rsidR="007F1802" w:rsidRPr="00F366EB">
        <w:rPr>
          <w:sz w:val="28"/>
          <w:szCs w:val="28"/>
        </w:rPr>
        <w:t xml:space="preserve"> %) </w:t>
      </w:r>
      <w:r w:rsidRPr="00F366EB">
        <w:rPr>
          <w:sz w:val="28"/>
          <w:szCs w:val="28"/>
        </w:rPr>
        <w:t>респондентов</w:t>
      </w:r>
      <w:r w:rsidR="007F1802" w:rsidRPr="00F366EB">
        <w:rPr>
          <w:sz w:val="28"/>
          <w:szCs w:val="28"/>
        </w:rPr>
        <w:t xml:space="preserve"> считают, что в округе </w:t>
      </w:r>
      <w:r w:rsidR="0001157D" w:rsidRPr="00F366EB">
        <w:rPr>
          <w:sz w:val="28"/>
          <w:szCs w:val="28"/>
        </w:rPr>
        <w:t xml:space="preserve">мало или же вовсе </w:t>
      </w:r>
      <w:r w:rsidR="007F1802" w:rsidRPr="00F366EB">
        <w:rPr>
          <w:sz w:val="28"/>
          <w:szCs w:val="28"/>
        </w:rPr>
        <w:t>отсутствуют предприятия, осуществляющие деятельность в области производства бетона</w:t>
      </w:r>
      <w:r w:rsidR="0001157D" w:rsidRPr="00F366EB">
        <w:rPr>
          <w:sz w:val="28"/>
          <w:szCs w:val="28"/>
        </w:rPr>
        <w:t>, и всего лишь 1</w:t>
      </w:r>
      <w:r w:rsidR="00096E53" w:rsidRPr="00F366EB">
        <w:rPr>
          <w:sz w:val="28"/>
          <w:szCs w:val="28"/>
        </w:rPr>
        <w:t>1</w:t>
      </w:r>
      <w:r w:rsidR="0001157D" w:rsidRPr="00F366EB">
        <w:rPr>
          <w:sz w:val="28"/>
          <w:szCs w:val="28"/>
        </w:rPr>
        <w:t>,9</w:t>
      </w:r>
      <w:r w:rsidR="007F1802" w:rsidRPr="00F366EB">
        <w:rPr>
          <w:sz w:val="28"/>
          <w:szCs w:val="28"/>
        </w:rPr>
        <w:t xml:space="preserve"> </w:t>
      </w:r>
      <w:r w:rsidRPr="00F366EB">
        <w:rPr>
          <w:sz w:val="28"/>
          <w:szCs w:val="28"/>
        </w:rPr>
        <w:t>% (</w:t>
      </w:r>
      <w:r w:rsidR="0001157D" w:rsidRPr="00F366EB">
        <w:rPr>
          <w:sz w:val="28"/>
          <w:szCs w:val="28"/>
        </w:rPr>
        <w:t>в 202</w:t>
      </w:r>
      <w:r w:rsidR="00696301" w:rsidRPr="00F366EB">
        <w:rPr>
          <w:sz w:val="28"/>
          <w:szCs w:val="28"/>
        </w:rPr>
        <w:t>2</w:t>
      </w:r>
      <w:r w:rsidR="00035FCA" w:rsidRPr="00F366EB">
        <w:rPr>
          <w:sz w:val="28"/>
          <w:szCs w:val="28"/>
        </w:rPr>
        <w:t xml:space="preserve"> году </w:t>
      </w:r>
      <w:r w:rsidR="00696301" w:rsidRPr="00F366EB">
        <w:rPr>
          <w:sz w:val="28"/>
          <w:szCs w:val="28"/>
        </w:rPr>
        <w:t>–</w:t>
      </w:r>
      <w:r w:rsidRPr="00F366EB">
        <w:rPr>
          <w:sz w:val="28"/>
          <w:szCs w:val="28"/>
        </w:rPr>
        <w:t xml:space="preserve"> </w:t>
      </w:r>
      <w:r w:rsidR="0001157D" w:rsidRPr="00F366EB">
        <w:rPr>
          <w:sz w:val="28"/>
          <w:szCs w:val="28"/>
        </w:rPr>
        <w:t>1</w:t>
      </w:r>
      <w:r w:rsidR="00696301" w:rsidRPr="00F366EB">
        <w:rPr>
          <w:sz w:val="28"/>
          <w:szCs w:val="28"/>
        </w:rPr>
        <w:t>0,9</w:t>
      </w:r>
      <w:r w:rsidRPr="00F366EB">
        <w:rPr>
          <w:sz w:val="28"/>
          <w:szCs w:val="28"/>
        </w:rPr>
        <w:t xml:space="preserve"> %) отмечают, что на рынке присутствует достаточное количество предприятий, </w:t>
      </w:r>
      <w:r w:rsidR="00F366EB" w:rsidRPr="00F366EB">
        <w:rPr>
          <w:sz w:val="28"/>
          <w:szCs w:val="28"/>
        </w:rPr>
        <w:t>11,9</w:t>
      </w:r>
      <w:r w:rsidRPr="00F366EB">
        <w:rPr>
          <w:sz w:val="28"/>
          <w:szCs w:val="28"/>
        </w:rPr>
        <w:t xml:space="preserve"> %</w:t>
      </w:r>
      <w:r w:rsidR="00035FCA" w:rsidRPr="00F366EB">
        <w:rPr>
          <w:sz w:val="28"/>
          <w:szCs w:val="28"/>
        </w:rPr>
        <w:t xml:space="preserve"> </w:t>
      </w:r>
      <w:r w:rsidR="0001157D" w:rsidRPr="00F366EB">
        <w:rPr>
          <w:sz w:val="28"/>
          <w:szCs w:val="28"/>
        </w:rPr>
        <w:t>(в</w:t>
      </w:r>
      <w:r w:rsidR="0001157D">
        <w:rPr>
          <w:sz w:val="28"/>
          <w:szCs w:val="28"/>
        </w:rPr>
        <w:t xml:space="preserve"> 202</w:t>
      </w:r>
      <w:r w:rsidR="00696301">
        <w:rPr>
          <w:sz w:val="28"/>
          <w:szCs w:val="28"/>
        </w:rPr>
        <w:t>2</w:t>
      </w:r>
      <w:r w:rsidR="00035FCA" w:rsidRPr="00035FCA">
        <w:rPr>
          <w:sz w:val="28"/>
          <w:szCs w:val="28"/>
        </w:rPr>
        <w:t xml:space="preserve"> году </w:t>
      </w:r>
      <w:r w:rsidR="00035FCA">
        <w:rPr>
          <w:sz w:val="28"/>
          <w:szCs w:val="28"/>
        </w:rPr>
        <w:t>–</w:t>
      </w:r>
      <w:r w:rsidR="00035FCA" w:rsidRPr="00035FCA">
        <w:rPr>
          <w:sz w:val="28"/>
          <w:szCs w:val="28"/>
        </w:rPr>
        <w:t xml:space="preserve"> </w:t>
      </w:r>
      <w:r w:rsidR="00696301">
        <w:rPr>
          <w:sz w:val="28"/>
          <w:szCs w:val="28"/>
        </w:rPr>
        <w:t>15,4</w:t>
      </w:r>
      <w:r w:rsidR="00035FCA" w:rsidRPr="00035FCA">
        <w:rPr>
          <w:sz w:val="28"/>
          <w:szCs w:val="28"/>
        </w:rPr>
        <w:t xml:space="preserve"> %) </w:t>
      </w:r>
      <w:r>
        <w:rPr>
          <w:sz w:val="28"/>
          <w:szCs w:val="28"/>
        </w:rPr>
        <w:t xml:space="preserve"> затруднились оценить конкурентную среду рынка </w:t>
      </w:r>
      <w:r w:rsidR="0001157D">
        <w:rPr>
          <w:sz w:val="28"/>
          <w:szCs w:val="28"/>
        </w:rPr>
        <w:t>производства бетона</w:t>
      </w:r>
      <w:r>
        <w:rPr>
          <w:sz w:val="28"/>
          <w:szCs w:val="28"/>
        </w:rPr>
        <w:t>.</w:t>
      </w:r>
      <w:proofErr w:type="gramEnd"/>
    </w:p>
    <w:p w:rsidR="00305D00" w:rsidRDefault="00305D00" w:rsidP="00305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618F">
        <w:rPr>
          <w:sz w:val="28"/>
          <w:szCs w:val="28"/>
        </w:rPr>
        <w:t xml:space="preserve">На рисунке </w:t>
      </w:r>
      <w:r w:rsidR="007F1802">
        <w:rPr>
          <w:sz w:val="28"/>
          <w:szCs w:val="28"/>
        </w:rPr>
        <w:t>42</w:t>
      </w:r>
      <w:r w:rsidRPr="00BE618F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</w:t>
      </w:r>
      <w:r w:rsidRPr="00BE618F">
        <w:rPr>
          <w:sz w:val="28"/>
          <w:szCs w:val="28"/>
        </w:rPr>
        <w:t xml:space="preserve"> отражено</w:t>
      </w:r>
      <w:r>
        <w:rPr>
          <w:sz w:val="28"/>
          <w:szCs w:val="28"/>
        </w:rPr>
        <w:t xml:space="preserve"> </w:t>
      </w:r>
      <w:r w:rsidRPr="00BE618F">
        <w:rPr>
          <w:sz w:val="28"/>
          <w:szCs w:val="28"/>
        </w:rPr>
        <w:t xml:space="preserve">как сложилось мнение респондентов в отношении к ценообразованию, качеству и возможности выбора на </w:t>
      </w:r>
      <w:r>
        <w:rPr>
          <w:sz w:val="28"/>
          <w:szCs w:val="28"/>
        </w:rPr>
        <w:t xml:space="preserve">представленном </w:t>
      </w:r>
      <w:r w:rsidRPr="00BE618F">
        <w:rPr>
          <w:sz w:val="28"/>
          <w:szCs w:val="28"/>
        </w:rPr>
        <w:t xml:space="preserve"> рынке по сравнению с прошлым годом в процентном соотношении</w:t>
      </w:r>
      <w:r>
        <w:rPr>
          <w:sz w:val="28"/>
          <w:szCs w:val="28"/>
        </w:rPr>
        <w:t xml:space="preserve">. </w:t>
      </w:r>
    </w:p>
    <w:p w:rsidR="007F1802" w:rsidRDefault="007F1802" w:rsidP="007F1802">
      <w:pPr>
        <w:jc w:val="right"/>
        <w:rPr>
          <w:sz w:val="28"/>
          <w:szCs w:val="28"/>
        </w:rPr>
      </w:pPr>
      <w:r>
        <w:rPr>
          <w:sz w:val="28"/>
          <w:szCs w:val="28"/>
        </w:rPr>
        <w:t>Рисунок 42.</w:t>
      </w:r>
    </w:p>
    <w:p w:rsidR="004C0840" w:rsidRDefault="007F1802" w:rsidP="00900A24">
      <w:pPr>
        <w:jc w:val="both"/>
        <w:rPr>
          <w:b/>
          <w:sz w:val="28"/>
          <w:szCs w:val="28"/>
        </w:rPr>
      </w:pPr>
      <w:r w:rsidRPr="007F1802">
        <w:rPr>
          <w:b/>
          <w:noProof/>
          <w:sz w:val="28"/>
          <w:szCs w:val="28"/>
        </w:rPr>
        <w:drawing>
          <wp:inline distT="0" distB="0" distL="0" distR="0">
            <wp:extent cx="6210300" cy="2609850"/>
            <wp:effectExtent l="0" t="0" r="0" b="0"/>
            <wp:docPr id="5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8A1EC7" w:rsidRPr="00096E53" w:rsidRDefault="002B39A7" w:rsidP="008A1EC7">
      <w:pPr>
        <w:ind w:firstLine="644"/>
        <w:jc w:val="both"/>
        <w:rPr>
          <w:sz w:val="28"/>
          <w:szCs w:val="28"/>
        </w:rPr>
      </w:pPr>
      <w:r w:rsidRPr="00096E53">
        <w:rPr>
          <w:sz w:val="28"/>
          <w:szCs w:val="28"/>
        </w:rPr>
        <w:t>41</w:t>
      </w:r>
      <w:r w:rsidR="008A1EC7" w:rsidRPr="00096E53">
        <w:rPr>
          <w:sz w:val="28"/>
          <w:szCs w:val="28"/>
        </w:rPr>
        <w:t>. Сфера наружной рекламы.</w:t>
      </w:r>
    </w:p>
    <w:p w:rsidR="008A1EC7" w:rsidRPr="00F366EB" w:rsidRDefault="00035FCA" w:rsidP="00035F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6E53" w:rsidRPr="00096E53">
        <w:rPr>
          <w:sz w:val="28"/>
          <w:szCs w:val="28"/>
        </w:rPr>
        <w:t>29,6</w:t>
      </w:r>
      <w:r w:rsidR="008A1EC7" w:rsidRPr="00096E53">
        <w:rPr>
          <w:sz w:val="28"/>
          <w:szCs w:val="28"/>
        </w:rPr>
        <w:t xml:space="preserve"> %</w:t>
      </w:r>
      <w:r w:rsidR="008A1EC7" w:rsidRPr="007C4169">
        <w:rPr>
          <w:sz w:val="28"/>
          <w:szCs w:val="28"/>
        </w:rPr>
        <w:t xml:space="preserve"> </w:t>
      </w:r>
      <w:r w:rsidR="00E13A75">
        <w:rPr>
          <w:sz w:val="28"/>
          <w:szCs w:val="28"/>
        </w:rPr>
        <w:t xml:space="preserve"> </w:t>
      </w:r>
      <w:r w:rsidR="008A1EC7" w:rsidRPr="008A1EC7">
        <w:rPr>
          <w:sz w:val="28"/>
          <w:szCs w:val="28"/>
        </w:rPr>
        <w:t>(</w:t>
      </w:r>
      <w:r w:rsidR="00E13A75">
        <w:rPr>
          <w:sz w:val="28"/>
          <w:szCs w:val="28"/>
        </w:rPr>
        <w:t>в 202</w:t>
      </w:r>
      <w:r w:rsidR="00696301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8A1EC7" w:rsidRPr="008A1EC7">
        <w:rPr>
          <w:sz w:val="28"/>
          <w:szCs w:val="28"/>
        </w:rPr>
        <w:t xml:space="preserve"> </w:t>
      </w:r>
      <w:r w:rsidR="00E13A75">
        <w:rPr>
          <w:sz w:val="28"/>
          <w:szCs w:val="28"/>
        </w:rPr>
        <w:t>–</w:t>
      </w:r>
      <w:r w:rsidR="008A1EC7" w:rsidRPr="008A1EC7">
        <w:rPr>
          <w:sz w:val="28"/>
          <w:szCs w:val="28"/>
        </w:rPr>
        <w:t xml:space="preserve"> </w:t>
      </w:r>
      <w:r w:rsidR="00696301">
        <w:rPr>
          <w:sz w:val="28"/>
          <w:szCs w:val="28"/>
        </w:rPr>
        <w:t>32,2</w:t>
      </w:r>
      <w:r w:rsidR="008A1EC7" w:rsidRPr="008A1EC7">
        <w:rPr>
          <w:sz w:val="28"/>
          <w:szCs w:val="28"/>
        </w:rPr>
        <w:t xml:space="preserve"> %) респондентов </w:t>
      </w:r>
      <w:r w:rsidR="008A1EC7">
        <w:rPr>
          <w:sz w:val="28"/>
          <w:szCs w:val="28"/>
        </w:rPr>
        <w:t>охарактеризовали</w:t>
      </w:r>
      <w:r w:rsidR="008A1EC7" w:rsidRPr="007C4169">
        <w:rPr>
          <w:sz w:val="28"/>
          <w:szCs w:val="28"/>
        </w:rPr>
        <w:t xml:space="preserve"> количество организаций в сфере наружной рекламы как </w:t>
      </w:r>
      <w:r w:rsidR="008A1EC7" w:rsidRPr="00F366EB">
        <w:rPr>
          <w:sz w:val="28"/>
          <w:szCs w:val="28"/>
        </w:rPr>
        <w:t>достаточное</w:t>
      </w:r>
      <w:r w:rsidR="00E13A75" w:rsidRPr="00F366EB">
        <w:rPr>
          <w:sz w:val="28"/>
          <w:szCs w:val="28"/>
        </w:rPr>
        <w:t xml:space="preserve">, </w:t>
      </w:r>
      <w:r w:rsidR="00F366EB" w:rsidRPr="00F366EB">
        <w:rPr>
          <w:sz w:val="28"/>
          <w:szCs w:val="28"/>
        </w:rPr>
        <w:t>58,5</w:t>
      </w:r>
      <w:r w:rsidR="008A1EC7" w:rsidRPr="00F366EB">
        <w:rPr>
          <w:sz w:val="28"/>
          <w:szCs w:val="28"/>
        </w:rPr>
        <w:t xml:space="preserve"> % (</w:t>
      </w:r>
      <w:r w:rsidRPr="00F366EB">
        <w:rPr>
          <w:sz w:val="28"/>
          <w:szCs w:val="28"/>
        </w:rPr>
        <w:t xml:space="preserve">в </w:t>
      </w:r>
      <w:r w:rsidR="00E13A75" w:rsidRPr="00F366EB">
        <w:rPr>
          <w:sz w:val="28"/>
          <w:szCs w:val="28"/>
        </w:rPr>
        <w:t>202</w:t>
      </w:r>
      <w:r w:rsidR="00696301" w:rsidRPr="00F366EB">
        <w:rPr>
          <w:sz w:val="28"/>
          <w:szCs w:val="28"/>
        </w:rPr>
        <w:t>2</w:t>
      </w:r>
      <w:r w:rsidR="008A1EC7" w:rsidRPr="00F366EB">
        <w:rPr>
          <w:sz w:val="28"/>
          <w:szCs w:val="28"/>
        </w:rPr>
        <w:t xml:space="preserve"> г</w:t>
      </w:r>
      <w:r w:rsidRPr="00F366EB">
        <w:rPr>
          <w:sz w:val="28"/>
          <w:szCs w:val="28"/>
        </w:rPr>
        <w:t xml:space="preserve">оду </w:t>
      </w:r>
      <w:r w:rsidR="00E13A75" w:rsidRPr="00F366EB">
        <w:rPr>
          <w:sz w:val="28"/>
          <w:szCs w:val="28"/>
        </w:rPr>
        <w:t>–</w:t>
      </w:r>
      <w:r w:rsidR="008A1EC7" w:rsidRPr="00F366EB">
        <w:rPr>
          <w:sz w:val="28"/>
          <w:szCs w:val="28"/>
        </w:rPr>
        <w:t xml:space="preserve"> </w:t>
      </w:r>
      <w:r w:rsidR="00696301" w:rsidRPr="00F366EB">
        <w:rPr>
          <w:sz w:val="28"/>
          <w:szCs w:val="28"/>
        </w:rPr>
        <w:t>56,4</w:t>
      </w:r>
      <w:r w:rsidR="008A1EC7" w:rsidRPr="00F366EB">
        <w:rPr>
          <w:sz w:val="28"/>
          <w:szCs w:val="28"/>
        </w:rPr>
        <w:t xml:space="preserve"> %) считают, что таких организаций не достаточно, </w:t>
      </w:r>
      <w:r w:rsidR="00E13A75" w:rsidRPr="00F366EB">
        <w:rPr>
          <w:sz w:val="28"/>
          <w:szCs w:val="28"/>
        </w:rPr>
        <w:t>11,</w:t>
      </w:r>
      <w:r w:rsidR="00F366EB" w:rsidRPr="00F366EB">
        <w:rPr>
          <w:sz w:val="28"/>
          <w:szCs w:val="28"/>
        </w:rPr>
        <w:t>6</w:t>
      </w:r>
      <w:r w:rsidR="00E13A75" w:rsidRPr="00F366EB">
        <w:rPr>
          <w:sz w:val="28"/>
          <w:szCs w:val="28"/>
        </w:rPr>
        <w:t xml:space="preserve"> % (в 202</w:t>
      </w:r>
      <w:r w:rsidR="00696301" w:rsidRPr="00F366EB">
        <w:rPr>
          <w:sz w:val="28"/>
          <w:szCs w:val="28"/>
        </w:rPr>
        <w:t>2</w:t>
      </w:r>
      <w:r w:rsidR="00E13A75" w:rsidRPr="00F366EB">
        <w:rPr>
          <w:sz w:val="28"/>
          <w:szCs w:val="28"/>
        </w:rPr>
        <w:t xml:space="preserve"> году </w:t>
      </w:r>
      <w:r w:rsidR="00696301" w:rsidRPr="00F366EB">
        <w:rPr>
          <w:sz w:val="28"/>
          <w:szCs w:val="28"/>
        </w:rPr>
        <w:t>–</w:t>
      </w:r>
      <w:r w:rsidR="00E13A75" w:rsidRPr="00F366EB">
        <w:rPr>
          <w:sz w:val="28"/>
          <w:szCs w:val="28"/>
        </w:rPr>
        <w:t xml:space="preserve"> </w:t>
      </w:r>
      <w:r w:rsidR="00696301" w:rsidRPr="00F366EB">
        <w:rPr>
          <w:sz w:val="28"/>
          <w:szCs w:val="28"/>
        </w:rPr>
        <w:t>11,4</w:t>
      </w:r>
      <w:r w:rsidR="008A1EC7" w:rsidRPr="00F366EB">
        <w:rPr>
          <w:sz w:val="28"/>
          <w:szCs w:val="28"/>
        </w:rPr>
        <w:t xml:space="preserve"> %</w:t>
      </w:r>
      <w:r w:rsidR="00E13A75" w:rsidRPr="00F366EB">
        <w:rPr>
          <w:sz w:val="28"/>
          <w:szCs w:val="28"/>
        </w:rPr>
        <w:t>)</w:t>
      </w:r>
      <w:r w:rsidR="008A1EC7" w:rsidRPr="00F366EB">
        <w:rPr>
          <w:sz w:val="28"/>
          <w:szCs w:val="28"/>
        </w:rPr>
        <w:t xml:space="preserve"> опрошенных затруднились с ответом.</w:t>
      </w:r>
    </w:p>
    <w:p w:rsidR="008A1EC7" w:rsidRDefault="008A1EC7" w:rsidP="008A1EC7">
      <w:pPr>
        <w:shd w:val="clear" w:color="auto" w:fill="FFFFFF"/>
        <w:ind w:firstLine="709"/>
        <w:jc w:val="both"/>
        <w:rPr>
          <w:sz w:val="28"/>
          <w:szCs w:val="28"/>
        </w:rPr>
      </w:pPr>
      <w:r w:rsidRPr="008A1EC7">
        <w:rPr>
          <w:sz w:val="28"/>
          <w:szCs w:val="28"/>
        </w:rPr>
        <w:t xml:space="preserve">На рисунке </w:t>
      </w:r>
      <w:r w:rsidR="002B39A7">
        <w:rPr>
          <w:sz w:val="28"/>
          <w:szCs w:val="28"/>
        </w:rPr>
        <w:t>43</w:t>
      </w:r>
      <w:r w:rsidRPr="008A1EC7">
        <w:rPr>
          <w:sz w:val="28"/>
          <w:szCs w:val="28"/>
        </w:rPr>
        <w:t xml:space="preserve"> наглядно отражено как сложилось мнение респондентов в отношении к ценообразованию, качеству и возможности выбора на представленном  рынке по сравнению с прошлым годом в процентном соотношении.</w:t>
      </w:r>
    </w:p>
    <w:p w:rsidR="002B39A7" w:rsidRDefault="002B39A7" w:rsidP="002B39A7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43.</w:t>
      </w:r>
    </w:p>
    <w:p w:rsidR="008A1EC7" w:rsidRPr="005E7209" w:rsidRDefault="008A1EC7" w:rsidP="008A1EC7">
      <w:pPr>
        <w:ind w:firstLine="644"/>
        <w:jc w:val="both"/>
        <w:rPr>
          <w:sz w:val="28"/>
          <w:szCs w:val="28"/>
        </w:rPr>
      </w:pPr>
    </w:p>
    <w:p w:rsidR="004C0840" w:rsidRDefault="002B39A7" w:rsidP="00900A24">
      <w:pPr>
        <w:jc w:val="both"/>
        <w:rPr>
          <w:b/>
          <w:sz w:val="28"/>
          <w:szCs w:val="28"/>
        </w:rPr>
      </w:pPr>
      <w:r w:rsidRPr="002B39A7">
        <w:rPr>
          <w:b/>
          <w:noProof/>
          <w:sz w:val="28"/>
          <w:szCs w:val="28"/>
        </w:rPr>
        <w:drawing>
          <wp:inline distT="0" distB="0" distL="0" distR="0">
            <wp:extent cx="6210300" cy="2133600"/>
            <wp:effectExtent l="0" t="0" r="0" b="0"/>
            <wp:docPr id="5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333F3" w:rsidRPr="00096E53" w:rsidRDefault="002333F3" w:rsidP="002333F3">
      <w:pPr>
        <w:ind w:firstLine="644"/>
        <w:jc w:val="both"/>
        <w:rPr>
          <w:sz w:val="28"/>
          <w:szCs w:val="28"/>
        </w:rPr>
      </w:pPr>
      <w:r w:rsidRPr="00096E53">
        <w:rPr>
          <w:sz w:val="28"/>
          <w:szCs w:val="28"/>
        </w:rPr>
        <w:lastRenderedPageBreak/>
        <w:t>42. Рынок санаторно-курортных и туристских услуг.</w:t>
      </w:r>
    </w:p>
    <w:p w:rsidR="004C0840" w:rsidRPr="00F366EB" w:rsidRDefault="002333F3" w:rsidP="00965218">
      <w:pPr>
        <w:pStyle w:val="a7"/>
        <w:ind w:left="0" w:firstLine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округа на сегодняшний день отсутствуют организации, предоставляющие санаторно-курортные и </w:t>
      </w:r>
      <w:r w:rsidRPr="00F366EB">
        <w:rPr>
          <w:sz w:val="28"/>
          <w:szCs w:val="28"/>
        </w:rPr>
        <w:t xml:space="preserve">туристические услуги, соответственно мнения потребителей </w:t>
      </w:r>
      <w:r w:rsidR="00E13A75" w:rsidRPr="00F366EB">
        <w:rPr>
          <w:sz w:val="28"/>
          <w:szCs w:val="28"/>
        </w:rPr>
        <w:t>вполне ожидаемо</w:t>
      </w:r>
      <w:r w:rsidR="00965218" w:rsidRPr="00F366EB">
        <w:rPr>
          <w:sz w:val="28"/>
          <w:szCs w:val="28"/>
        </w:rPr>
        <w:t xml:space="preserve">, </w:t>
      </w:r>
      <w:r w:rsidR="00F366EB" w:rsidRPr="00F366EB">
        <w:rPr>
          <w:sz w:val="28"/>
          <w:szCs w:val="28"/>
        </w:rPr>
        <w:t>88,9</w:t>
      </w:r>
      <w:r w:rsidR="00965218" w:rsidRPr="00F366EB">
        <w:rPr>
          <w:sz w:val="28"/>
          <w:szCs w:val="28"/>
        </w:rPr>
        <w:t xml:space="preserve"> % (в 202</w:t>
      </w:r>
      <w:r w:rsidR="00F97C56" w:rsidRPr="00F366EB">
        <w:rPr>
          <w:sz w:val="28"/>
          <w:szCs w:val="28"/>
        </w:rPr>
        <w:t>2</w:t>
      </w:r>
      <w:r w:rsidR="00965218" w:rsidRPr="00F366EB">
        <w:rPr>
          <w:sz w:val="28"/>
          <w:szCs w:val="28"/>
        </w:rPr>
        <w:t xml:space="preserve"> году – </w:t>
      </w:r>
      <w:r w:rsidR="00F97C56" w:rsidRPr="00F366EB">
        <w:rPr>
          <w:sz w:val="28"/>
          <w:szCs w:val="28"/>
        </w:rPr>
        <w:t>91,1</w:t>
      </w:r>
      <w:r w:rsidR="00965218" w:rsidRPr="00F366EB">
        <w:rPr>
          <w:sz w:val="28"/>
          <w:szCs w:val="28"/>
        </w:rPr>
        <w:t xml:space="preserve"> %) опрошенных  заявили об</w:t>
      </w:r>
      <w:r w:rsidRPr="00F366EB">
        <w:rPr>
          <w:sz w:val="28"/>
          <w:szCs w:val="28"/>
        </w:rPr>
        <w:t xml:space="preserve"> отс</w:t>
      </w:r>
      <w:r w:rsidR="00965218" w:rsidRPr="00F366EB">
        <w:rPr>
          <w:sz w:val="28"/>
          <w:szCs w:val="28"/>
        </w:rPr>
        <w:t>утствии данного вида услуг, и только 1,</w:t>
      </w:r>
      <w:r w:rsidR="00096E53" w:rsidRPr="00F366EB">
        <w:rPr>
          <w:sz w:val="28"/>
          <w:szCs w:val="28"/>
        </w:rPr>
        <w:t>2</w:t>
      </w:r>
      <w:r w:rsidR="00965218" w:rsidRPr="00F366EB">
        <w:rPr>
          <w:sz w:val="28"/>
          <w:szCs w:val="28"/>
        </w:rPr>
        <w:t xml:space="preserve"> % (в 202</w:t>
      </w:r>
      <w:r w:rsidR="00F97C56" w:rsidRPr="00F366EB">
        <w:rPr>
          <w:sz w:val="28"/>
          <w:szCs w:val="28"/>
        </w:rPr>
        <w:t>2</w:t>
      </w:r>
      <w:r w:rsidR="00965218" w:rsidRPr="00F366EB">
        <w:rPr>
          <w:sz w:val="28"/>
          <w:szCs w:val="28"/>
        </w:rPr>
        <w:t xml:space="preserve"> году </w:t>
      </w:r>
      <w:r w:rsidR="00F97C56" w:rsidRPr="00F366EB">
        <w:rPr>
          <w:sz w:val="28"/>
          <w:szCs w:val="28"/>
        </w:rPr>
        <w:t>–</w:t>
      </w:r>
      <w:r w:rsidR="00965218" w:rsidRPr="00F366EB">
        <w:rPr>
          <w:sz w:val="28"/>
          <w:szCs w:val="28"/>
        </w:rPr>
        <w:t xml:space="preserve"> </w:t>
      </w:r>
      <w:r w:rsidR="00F97C56" w:rsidRPr="00F366EB">
        <w:rPr>
          <w:sz w:val="28"/>
          <w:szCs w:val="28"/>
        </w:rPr>
        <w:t>1,0</w:t>
      </w:r>
      <w:r w:rsidR="001701B8" w:rsidRPr="00F366EB">
        <w:rPr>
          <w:sz w:val="28"/>
          <w:szCs w:val="28"/>
        </w:rPr>
        <w:t xml:space="preserve"> </w:t>
      </w:r>
      <w:r w:rsidRPr="00F366EB">
        <w:rPr>
          <w:sz w:val="28"/>
          <w:szCs w:val="28"/>
        </w:rPr>
        <w:t>%</w:t>
      </w:r>
      <w:r w:rsidR="00965218" w:rsidRPr="00F366EB">
        <w:rPr>
          <w:sz w:val="28"/>
          <w:szCs w:val="28"/>
        </w:rPr>
        <w:t>)</w:t>
      </w:r>
      <w:r w:rsidRPr="00F366EB">
        <w:rPr>
          <w:sz w:val="28"/>
          <w:szCs w:val="28"/>
        </w:rPr>
        <w:t xml:space="preserve"> считают, что количество поставщиков услуг достаточно,</w:t>
      </w:r>
      <w:r w:rsidR="00E13A75" w:rsidRPr="00F366EB">
        <w:rPr>
          <w:sz w:val="28"/>
          <w:szCs w:val="28"/>
        </w:rPr>
        <w:t xml:space="preserve"> </w:t>
      </w:r>
      <w:r w:rsidR="00965218" w:rsidRPr="00F366EB">
        <w:rPr>
          <w:sz w:val="28"/>
          <w:szCs w:val="28"/>
        </w:rPr>
        <w:t xml:space="preserve">ещё </w:t>
      </w:r>
      <w:r w:rsidR="00F366EB" w:rsidRPr="00F366EB">
        <w:rPr>
          <w:sz w:val="28"/>
          <w:szCs w:val="28"/>
        </w:rPr>
        <w:t>9,7</w:t>
      </w:r>
      <w:r w:rsidR="001701B8" w:rsidRPr="00F366EB">
        <w:rPr>
          <w:sz w:val="28"/>
          <w:szCs w:val="28"/>
        </w:rPr>
        <w:t xml:space="preserve"> </w:t>
      </w:r>
      <w:r w:rsidRPr="00F366EB">
        <w:rPr>
          <w:sz w:val="28"/>
          <w:szCs w:val="28"/>
        </w:rPr>
        <w:t>% (</w:t>
      </w:r>
      <w:r w:rsidR="008C0C88" w:rsidRPr="00F366EB">
        <w:rPr>
          <w:sz w:val="28"/>
          <w:szCs w:val="28"/>
        </w:rPr>
        <w:t xml:space="preserve">в </w:t>
      </w:r>
      <w:r w:rsidR="00E13A75" w:rsidRPr="00F366EB">
        <w:rPr>
          <w:sz w:val="28"/>
          <w:szCs w:val="28"/>
        </w:rPr>
        <w:t>202</w:t>
      </w:r>
      <w:r w:rsidR="00F97C56" w:rsidRPr="00F366EB">
        <w:rPr>
          <w:sz w:val="28"/>
          <w:szCs w:val="28"/>
        </w:rPr>
        <w:t>2</w:t>
      </w:r>
      <w:r w:rsidR="001701B8" w:rsidRPr="00F366EB">
        <w:rPr>
          <w:sz w:val="28"/>
          <w:szCs w:val="28"/>
        </w:rPr>
        <w:t xml:space="preserve"> </w:t>
      </w:r>
      <w:r w:rsidR="008C0C88" w:rsidRPr="00F366EB">
        <w:rPr>
          <w:sz w:val="28"/>
          <w:szCs w:val="28"/>
        </w:rPr>
        <w:t>году</w:t>
      </w:r>
      <w:r w:rsidRPr="00F366EB">
        <w:rPr>
          <w:sz w:val="28"/>
          <w:szCs w:val="28"/>
        </w:rPr>
        <w:t xml:space="preserve"> </w:t>
      </w:r>
      <w:r w:rsidR="00E13A75" w:rsidRPr="00F366EB">
        <w:rPr>
          <w:sz w:val="28"/>
          <w:szCs w:val="28"/>
        </w:rPr>
        <w:t>–</w:t>
      </w:r>
      <w:r w:rsidR="008C0C88" w:rsidRPr="00F366EB">
        <w:rPr>
          <w:sz w:val="28"/>
          <w:szCs w:val="28"/>
        </w:rPr>
        <w:t xml:space="preserve"> </w:t>
      </w:r>
      <w:r w:rsidR="00E13A75" w:rsidRPr="00F366EB">
        <w:rPr>
          <w:sz w:val="28"/>
          <w:szCs w:val="28"/>
        </w:rPr>
        <w:t>7,</w:t>
      </w:r>
      <w:r w:rsidR="00F97C56" w:rsidRPr="00F366EB">
        <w:rPr>
          <w:sz w:val="28"/>
          <w:szCs w:val="28"/>
        </w:rPr>
        <w:t>9</w:t>
      </w:r>
      <w:r w:rsidR="001701B8" w:rsidRPr="00F366EB">
        <w:rPr>
          <w:sz w:val="28"/>
          <w:szCs w:val="28"/>
        </w:rPr>
        <w:t xml:space="preserve"> </w:t>
      </w:r>
      <w:r w:rsidRPr="00F366EB">
        <w:rPr>
          <w:sz w:val="28"/>
          <w:szCs w:val="28"/>
        </w:rPr>
        <w:t>%) затруднились ответить.</w:t>
      </w:r>
      <w:proofErr w:type="gramEnd"/>
    </w:p>
    <w:p w:rsidR="00965218" w:rsidRDefault="001701B8" w:rsidP="00965218">
      <w:pPr>
        <w:pStyle w:val="a7"/>
        <w:ind w:left="0" w:firstLine="644"/>
        <w:jc w:val="both"/>
        <w:rPr>
          <w:sz w:val="28"/>
          <w:szCs w:val="28"/>
        </w:rPr>
      </w:pPr>
      <w:r w:rsidRPr="00F366EB">
        <w:rPr>
          <w:sz w:val="28"/>
          <w:szCs w:val="28"/>
        </w:rPr>
        <w:t>На рисунке 44 наглядно отражено как сложилось мнение</w:t>
      </w:r>
      <w:r w:rsidRPr="008A1EC7">
        <w:rPr>
          <w:sz w:val="28"/>
          <w:szCs w:val="28"/>
        </w:rPr>
        <w:t xml:space="preserve"> респондентов в отношении к ценообразованию, качеству и возможности выбора на представленном  рынке по сравнению с прошлым годом в процентном соотношении.</w:t>
      </w:r>
      <w:r w:rsidR="00965218">
        <w:rPr>
          <w:sz w:val="28"/>
          <w:szCs w:val="28"/>
        </w:rPr>
        <w:t xml:space="preserve"> Следует отметить то, что, скорее всего многие оценивали ситуацию не на местном рынке, а высказывались о санаторно-курортном комплексе Ставропольского края в целом, и это мнение не значительно поменялось по сравнению с прошлым годом.</w:t>
      </w:r>
    </w:p>
    <w:p w:rsidR="001701B8" w:rsidRDefault="001701B8" w:rsidP="001701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C0840" w:rsidRPr="00765F5F" w:rsidRDefault="001701B8" w:rsidP="00765F5F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44.</w:t>
      </w:r>
    </w:p>
    <w:p w:rsidR="004C0840" w:rsidRDefault="001701B8" w:rsidP="00900A24">
      <w:pPr>
        <w:jc w:val="both"/>
        <w:rPr>
          <w:b/>
          <w:sz w:val="28"/>
          <w:szCs w:val="28"/>
        </w:rPr>
      </w:pPr>
      <w:r w:rsidRPr="001701B8">
        <w:rPr>
          <w:b/>
          <w:noProof/>
          <w:sz w:val="28"/>
          <w:szCs w:val="28"/>
        </w:rPr>
        <w:drawing>
          <wp:inline distT="0" distB="0" distL="0" distR="0">
            <wp:extent cx="6210300" cy="2609850"/>
            <wp:effectExtent l="0" t="0" r="0" b="0"/>
            <wp:docPr id="5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FB35B1" w:rsidRPr="00096E53" w:rsidRDefault="00FB35B1" w:rsidP="00FB35B1">
      <w:pPr>
        <w:pStyle w:val="a7"/>
        <w:ind w:left="0" w:firstLine="644"/>
        <w:jc w:val="both"/>
        <w:rPr>
          <w:sz w:val="28"/>
          <w:szCs w:val="28"/>
        </w:rPr>
      </w:pPr>
      <w:r w:rsidRPr="00096E53">
        <w:rPr>
          <w:sz w:val="28"/>
          <w:szCs w:val="28"/>
        </w:rPr>
        <w:t>43. Рынок минеральной воды.</w:t>
      </w:r>
    </w:p>
    <w:p w:rsidR="004C0840" w:rsidRDefault="00FB35B1" w:rsidP="00FB35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связи с близостью к территории Кавказских минеральных вод, многие потребители оценивали рынок в целом, а не рынок округа, на территории которого отсутствуют предприятия по розливу минеральной воды. В связи</w:t>
      </w:r>
      <w:r w:rsidR="00765F5F">
        <w:rPr>
          <w:sz w:val="28"/>
          <w:szCs w:val="28"/>
        </w:rPr>
        <w:t>,</w:t>
      </w:r>
      <w:r>
        <w:rPr>
          <w:sz w:val="28"/>
          <w:szCs w:val="28"/>
        </w:rPr>
        <w:t xml:space="preserve"> с чем </w:t>
      </w:r>
      <w:r w:rsidR="00423029">
        <w:rPr>
          <w:sz w:val="28"/>
          <w:szCs w:val="28"/>
        </w:rPr>
        <w:t>4</w:t>
      </w:r>
      <w:r w:rsidR="00765F5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765F5F">
        <w:rPr>
          <w:sz w:val="28"/>
          <w:szCs w:val="28"/>
        </w:rPr>
        <w:t xml:space="preserve"> </w:t>
      </w:r>
      <w:r w:rsidR="00765F5F" w:rsidRPr="00765F5F">
        <w:rPr>
          <w:sz w:val="28"/>
          <w:szCs w:val="28"/>
        </w:rPr>
        <w:t>(</w:t>
      </w:r>
      <w:r w:rsidR="008C0C88">
        <w:rPr>
          <w:sz w:val="28"/>
          <w:szCs w:val="28"/>
        </w:rPr>
        <w:t>в 202</w:t>
      </w:r>
      <w:r w:rsidR="00F97C56">
        <w:rPr>
          <w:sz w:val="28"/>
          <w:szCs w:val="28"/>
        </w:rPr>
        <w:t>2</w:t>
      </w:r>
      <w:r w:rsidR="008C0C88">
        <w:rPr>
          <w:sz w:val="28"/>
          <w:szCs w:val="28"/>
        </w:rPr>
        <w:t xml:space="preserve"> году </w:t>
      </w:r>
      <w:r w:rsidR="001923C8">
        <w:rPr>
          <w:sz w:val="28"/>
          <w:szCs w:val="28"/>
        </w:rPr>
        <w:t>–</w:t>
      </w:r>
      <w:r w:rsidR="00765F5F" w:rsidRPr="00765F5F">
        <w:rPr>
          <w:sz w:val="28"/>
          <w:szCs w:val="28"/>
        </w:rPr>
        <w:t xml:space="preserve"> </w:t>
      </w:r>
      <w:r w:rsidR="00F97C56">
        <w:rPr>
          <w:sz w:val="28"/>
          <w:szCs w:val="28"/>
        </w:rPr>
        <w:t>3,5</w:t>
      </w:r>
      <w:r w:rsidR="00765F5F">
        <w:rPr>
          <w:sz w:val="28"/>
          <w:szCs w:val="28"/>
        </w:rPr>
        <w:t xml:space="preserve"> </w:t>
      </w:r>
      <w:r w:rsidR="00765F5F" w:rsidRPr="00765F5F">
        <w:rPr>
          <w:sz w:val="28"/>
          <w:szCs w:val="28"/>
        </w:rPr>
        <w:t>%)</w:t>
      </w:r>
      <w:r>
        <w:rPr>
          <w:sz w:val="28"/>
          <w:szCs w:val="28"/>
        </w:rPr>
        <w:t xml:space="preserve"> посчитали, что поставщиков этого товара достаточно на территории </w:t>
      </w:r>
      <w:r w:rsidR="00765F5F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765F5F">
        <w:rPr>
          <w:sz w:val="28"/>
          <w:szCs w:val="28"/>
        </w:rPr>
        <w:t xml:space="preserve"> </w:t>
      </w:r>
      <w:r w:rsidR="001923C8">
        <w:rPr>
          <w:sz w:val="28"/>
          <w:szCs w:val="28"/>
        </w:rPr>
        <w:t xml:space="preserve">и </w:t>
      </w:r>
      <w:r w:rsidR="00765F5F">
        <w:rPr>
          <w:sz w:val="28"/>
          <w:szCs w:val="28"/>
        </w:rPr>
        <w:t xml:space="preserve">все же </w:t>
      </w:r>
      <w:r w:rsidR="001923C8" w:rsidRPr="00F366EB">
        <w:rPr>
          <w:sz w:val="28"/>
          <w:szCs w:val="28"/>
        </w:rPr>
        <w:t>большинство 83,</w:t>
      </w:r>
      <w:r w:rsidR="00F366EB" w:rsidRPr="00F366EB">
        <w:rPr>
          <w:sz w:val="28"/>
          <w:szCs w:val="28"/>
        </w:rPr>
        <w:t>4</w:t>
      </w:r>
      <w:r w:rsidR="001923C8" w:rsidRPr="00F366EB">
        <w:rPr>
          <w:sz w:val="28"/>
          <w:szCs w:val="28"/>
        </w:rPr>
        <w:t xml:space="preserve"> %</w:t>
      </w:r>
      <w:r w:rsidR="001923C8">
        <w:rPr>
          <w:sz w:val="28"/>
          <w:szCs w:val="28"/>
        </w:rPr>
        <w:t xml:space="preserve"> (в 202</w:t>
      </w:r>
      <w:r w:rsidR="00F97C56">
        <w:rPr>
          <w:sz w:val="28"/>
          <w:szCs w:val="28"/>
        </w:rPr>
        <w:t>2</w:t>
      </w:r>
      <w:r w:rsidR="001923C8">
        <w:rPr>
          <w:sz w:val="28"/>
          <w:szCs w:val="28"/>
        </w:rPr>
        <w:t xml:space="preserve"> году -</w:t>
      </w:r>
      <w:r w:rsidR="00F366EB">
        <w:rPr>
          <w:sz w:val="28"/>
          <w:szCs w:val="28"/>
        </w:rPr>
        <w:t xml:space="preserve"> </w:t>
      </w:r>
      <w:r w:rsidR="00F97C56">
        <w:rPr>
          <w:sz w:val="28"/>
          <w:szCs w:val="28"/>
        </w:rPr>
        <w:t>83,6</w:t>
      </w:r>
      <w:r w:rsidR="00765F5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1923C8">
        <w:rPr>
          <w:sz w:val="28"/>
          <w:szCs w:val="28"/>
        </w:rPr>
        <w:t>)</w:t>
      </w:r>
      <w:r>
        <w:rPr>
          <w:sz w:val="28"/>
          <w:szCs w:val="28"/>
        </w:rPr>
        <w:t xml:space="preserve"> указали</w:t>
      </w:r>
      <w:r w:rsidR="001923C8">
        <w:rPr>
          <w:sz w:val="28"/>
          <w:szCs w:val="28"/>
        </w:rPr>
        <w:t>,</w:t>
      </w:r>
      <w:r>
        <w:rPr>
          <w:sz w:val="28"/>
          <w:szCs w:val="28"/>
        </w:rPr>
        <w:t xml:space="preserve"> что их мало или нет совсем.</w:t>
      </w:r>
    </w:p>
    <w:p w:rsidR="00765F5F" w:rsidRDefault="00765F5F" w:rsidP="00765F5F">
      <w:pPr>
        <w:shd w:val="clear" w:color="auto" w:fill="FFFFFF"/>
        <w:ind w:firstLine="709"/>
        <w:jc w:val="both"/>
        <w:rPr>
          <w:sz w:val="28"/>
          <w:szCs w:val="28"/>
        </w:rPr>
      </w:pPr>
      <w:r w:rsidRPr="008A1EC7">
        <w:rPr>
          <w:sz w:val="28"/>
          <w:szCs w:val="28"/>
        </w:rPr>
        <w:t xml:space="preserve">На рисунке </w:t>
      </w:r>
      <w:r>
        <w:rPr>
          <w:sz w:val="28"/>
          <w:szCs w:val="28"/>
        </w:rPr>
        <w:t>45</w:t>
      </w:r>
      <w:r w:rsidRPr="008A1EC7">
        <w:rPr>
          <w:sz w:val="28"/>
          <w:szCs w:val="28"/>
        </w:rPr>
        <w:t xml:space="preserve"> наглядно отражено как сложилось мнение респондентов в отношении к ценообразованию, качеству и возможности выбора на представленном  рынке по сравнению с прошлым годом в процентном соотношении.</w:t>
      </w:r>
    </w:p>
    <w:p w:rsidR="00F366EB" w:rsidRDefault="00F366EB" w:rsidP="00765F5F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765F5F" w:rsidRDefault="00765F5F" w:rsidP="00765F5F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45.</w:t>
      </w:r>
    </w:p>
    <w:p w:rsidR="004C0840" w:rsidRDefault="00765F5F" w:rsidP="00900A24">
      <w:pPr>
        <w:jc w:val="both"/>
        <w:rPr>
          <w:b/>
          <w:sz w:val="28"/>
          <w:szCs w:val="28"/>
        </w:rPr>
      </w:pPr>
      <w:r w:rsidRPr="00765F5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10300" cy="2352675"/>
            <wp:effectExtent l="0" t="0" r="0" b="0"/>
            <wp:docPr id="5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C0840" w:rsidRDefault="004C0840" w:rsidP="00900A24">
      <w:pPr>
        <w:jc w:val="both"/>
        <w:rPr>
          <w:b/>
          <w:sz w:val="28"/>
          <w:szCs w:val="28"/>
        </w:rPr>
      </w:pPr>
    </w:p>
    <w:p w:rsidR="004C0840" w:rsidRDefault="004C0840" w:rsidP="00900A24">
      <w:pPr>
        <w:jc w:val="both"/>
        <w:rPr>
          <w:b/>
          <w:sz w:val="28"/>
          <w:szCs w:val="28"/>
        </w:rPr>
      </w:pPr>
    </w:p>
    <w:p w:rsidR="00571B9F" w:rsidRPr="00571B9F" w:rsidRDefault="00571B9F" w:rsidP="00571B9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Pr="00571B9F">
        <w:rPr>
          <w:sz w:val="28"/>
          <w:szCs w:val="28"/>
        </w:rPr>
        <w:t>Подводя итоги</w:t>
      </w:r>
      <w:r>
        <w:rPr>
          <w:sz w:val="28"/>
          <w:szCs w:val="28"/>
        </w:rPr>
        <w:t xml:space="preserve"> о</w:t>
      </w:r>
      <w:r w:rsidRPr="00571B9F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сложившемся мнении</w:t>
      </w:r>
      <w:r w:rsidRPr="00571B9F">
        <w:rPr>
          <w:sz w:val="28"/>
          <w:szCs w:val="28"/>
        </w:rPr>
        <w:t xml:space="preserve"> респондентов в отношении к ценообразованию, качеству и возм</w:t>
      </w:r>
      <w:r>
        <w:rPr>
          <w:sz w:val="28"/>
          <w:szCs w:val="28"/>
        </w:rPr>
        <w:t>ожности выбора на представленных  рынках</w:t>
      </w:r>
      <w:r w:rsidRPr="00571B9F">
        <w:rPr>
          <w:sz w:val="28"/>
          <w:szCs w:val="28"/>
        </w:rPr>
        <w:t xml:space="preserve"> по сравнению с прошлым годом</w:t>
      </w:r>
      <w:r>
        <w:rPr>
          <w:sz w:val="28"/>
          <w:szCs w:val="28"/>
        </w:rPr>
        <w:t xml:space="preserve"> следует отметить, что д</w:t>
      </w:r>
      <w:r w:rsidRPr="001B5DA7">
        <w:rPr>
          <w:sz w:val="28"/>
          <w:szCs w:val="28"/>
        </w:rPr>
        <w:t xml:space="preserve">оля потребителей на территории муниципального образования, удовлетворенных состоянием и развитием конкуренции на товарных рынках в </w:t>
      </w:r>
      <w:r>
        <w:rPr>
          <w:sz w:val="28"/>
          <w:szCs w:val="28"/>
        </w:rPr>
        <w:t xml:space="preserve">Нефтекумском </w:t>
      </w:r>
      <w:r w:rsidR="00342829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Ставропольского края</w:t>
      </w:r>
      <w:r w:rsidRPr="001B5DA7">
        <w:rPr>
          <w:sz w:val="28"/>
          <w:szCs w:val="28"/>
        </w:rPr>
        <w:t>, в общем количестве потребителей, принявших участие в опросе при проведении мониторинга</w:t>
      </w:r>
      <w:r w:rsidR="0021439F">
        <w:rPr>
          <w:sz w:val="28"/>
          <w:szCs w:val="28"/>
        </w:rPr>
        <w:t xml:space="preserve"> </w:t>
      </w:r>
      <w:r w:rsidR="0021439F" w:rsidRPr="00FC60EA">
        <w:rPr>
          <w:sz w:val="28"/>
          <w:szCs w:val="28"/>
        </w:rPr>
        <w:t xml:space="preserve">увеличилась и составила </w:t>
      </w:r>
      <w:r w:rsidR="00FC60EA" w:rsidRPr="00FC60EA">
        <w:rPr>
          <w:sz w:val="28"/>
          <w:szCs w:val="28"/>
        </w:rPr>
        <w:t>67,2</w:t>
      </w:r>
      <w:proofErr w:type="gramEnd"/>
      <w:r>
        <w:rPr>
          <w:sz w:val="28"/>
          <w:szCs w:val="28"/>
        </w:rPr>
        <w:t xml:space="preserve"> % (в 202</w:t>
      </w:r>
      <w:r w:rsidR="0034282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 6</w:t>
      </w:r>
      <w:r w:rsidR="00342829">
        <w:rPr>
          <w:sz w:val="28"/>
          <w:szCs w:val="28"/>
        </w:rPr>
        <w:t>6,1</w:t>
      </w:r>
      <w:r>
        <w:rPr>
          <w:sz w:val="28"/>
          <w:szCs w:val="28"/>
        </w:rPr>
        <w:t xml:space="preserve"> %).</w:t>
      </w:r>
    </w:p>
    <w:p w:rsidR="00E73D1C" w:rsidRPr="00E73D1C" w:rsidRDefault="00900A24" w:rsidP="004C08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D11EC" w:rsidRPr="00900A24">
        <w:rPr>
          <w:b/>
          <w:sz w:val="28"/>
          <w:szCs w:val="28"/>
        </w:rPr>
        <w:t>Анализ динамики количества организаций, пр</w:t>
      </w:r>
      <w:r w:rsidR="008A7A3F" w:rsidRPr="00900A24">
        <w:rPr>
          <w:b/>
          <w:sz w:val="28"/>
          <w:szCs w:val="28"/>
        </w:rPr>
        <w:t xml:space="preserve">едоставляющих </w:t>
      </w:r>
      <w:r w:rsidR="009D11EC" w:rsidRPr="00900A24">
        <w:rPr>
          <w:b/>
          <w:sz w:val="28"/>
          <w:szCs w:val="28"/>
        </w:rPr>
        <w:t xml:space="preserve">товары и услуги на </w:t>
      </w:r>
      <w:r w:rsidR="001E698F" w:rsidRPr="00900A24">
        <w:rPr>
          <w:b/>
          <w:sz w:val="28"/>
          <w:szCs w:val="28"/>
        </w:rPr>
        <w:t xml:space="preserve">рынках </w:t>
      </w:r>
      <w:r w:rsidRPr="00900A24">
        <w:rPr>
          <w:b/>
          <w:sz w:val="28"/>
          <w:szCs w:val="28"/>
        </w:rPr>
        <w:t>Нефтекумского</w:t>
      </w:r>
      <w:r w:rsidR="00DF6A57" w:rsidRPr="00900A24">
        <w:rPr>
          <w:b/>
          <w:sz w:val="28"/>
          <w:szCs w:val="28"/>
        </w:rPr>
        <w:t xml:space="preserve"> </w:t>
      </w:r>
      <w:r w:rsidR="00351971">
        <w:rPr>
          <w:b/>
          <w:sz w:val="28"/>
          <w:szCs w:val="28"/>
        </w:rPr>
        <w:t xml:space="preserve">муниципального </w:t>
      </w:r>
      <w:r w:rsidR="00DF6A57" w:rsidRPr="00900A24">
        <w:rPr>
          <w:b/>
          <w:sz w:val="28"/>
          <w:szCs w:val="28"/>
        </w:rPr>
        <w:t xml:space="preserve">округа </w:t>
      </w:r>
      <w:r w:rsidR="009D11EC" w:rsidRPr="00900A24">
        <w:rPr>
          <w:b/>
          <w:sz w:val="28"/>
          <w:szCs w:val="28"/>
        </w:rPr>
        <w:t xml:space="preserve">Ставропольского края </w:t>
      </w:r>
      <w:proofErr w:type="gramStart"/>
      <w:r w:rsidR="009D11EC" w:rsidRPr="00900A24">
        <w:rPr>
          <w:b/>
          <w:sz w:val="28"/>
          <w:szCs w:val="28"/>
        </w:rPr>
        <w:t>за</w:t>
      </w:r>
      <w:proofErr w:type="gramEnd"/>
      <w:r w:rsidR="009D11EC" w:rsidRPr="00900A24">
        <w:rPr>
          <w:b/>
          <w:sz w:val="28"/>
          <w:szCs w:val="28"/>
        </w:rPr>
        <w:t xml:space="preserve"> последние 3 года по каждому рынку</w:t>
      </w:r>
      <w:r w:rsidR="00E73D1C" w:rsidRPr="00900A24">
        <w:rPr>
          <w:b/>
          <w:sz w:val="28"/>
          <w:szCs w:val="28"/>
        </w:rPr>
        <w:t>.</w:t>
      </w:r>
    </w:p>
    <w:p w:rsidR="00DF6A57" w:rsidRDefault="00527B2D" w:rsidP="008A7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динамики количества организаций, предоставляющих товары и услуги на рынках</w:t>
      </w:r>
      <w:r w:rsidR="00DF6A57">
        <w:rPr>
          <w:sz w:val="28"/>
          <w:szCs w:val="28"/>
        </w:rPr>
        <w:t xml:space="preserve"> </w:t>
      </w:r>
      <w:r w:rsidR="00900A24">
        <w:rPr>
          <w:sz w:val="28"/>
          <w:szCs w:val="28"/>
        </w:rPr>
        <w:t>Нефтекумского</w:t>
      </w:r>
      <w:r w:rsidR="00DF6A57">
        <w:rPr>
          <w:sz w:val="28"/>
          <w:szCs w:val="28"/>
        </w:rPr>
        <w:t xml:space="preserve"> </w:t>
      </w:r>
      <w:r w:rsidR="00351971">
        <w:rPr>
          <w:sz w:val="28"/>
          <w:szCs w:val="28"/>
        </w:rPr>
        <w:t>муниципального</w:t>
      </w:r>
      <w:r w:rsidR="00DF6A5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 </w:t>
      </w:r>
      <w:r w:rsidR="00900A24">
        <w:rPr>
          <w:sz w:val="28"/>
          <w:szCs w:val="28"/>
        </w:rPr>
        <w:t>приведены в таблице 2</w:t>
      </w:r>
      <w:r w:rsidR="00530773">
        <w:rPr>
          <w:sz w:val="28"/>
          <w:szCs w:val="28"/>
        </w:rPr>
        <w:t>.</w:t>
      </w:r>
    </w:p>
    <w:p w:rsidR="00E73D1C" w:rsidRDefault="00E73D1C" w:rsidP="00530773">
      <w:pPr>
        <w:ind w:firstLine="709"/>
        <w:jc w:val="right"/>
        <w:rPr>
          <w:sz w:val="20"/>
          <w:szCs w:val="20"/>
        </w:rPr>
      </w:pPr>
    </w:p>
    <w:p w:rsidR="00530773" w:rsidRPr="00530773" w:rsidRDefault="00900A24" w:rsidP="00530773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№2</w:t>
      </w:r>
    </w:p>
    <w:tbl>
      <w:tblPr>
        <w:tblW w:w="9783" w:type="dxa"/>
        <w:tblInd w:w="96" w:type="dxa"/>
        <w:tblLook w:val="04A0"/>
      </w:tblPr>
      <w:tblGrid>
        <w:gridCol w:w="5541"/>
        <w:gridCol w:w="702"/>
        <w:gridCol w:w="703"/>
        <w:gridCol w:w="711"/>
        <w:gridCol w:w="709"/>
        <w:gridCol w:w="709"/>
        <w:gridCol w:w="708"/>
      </w:tblGrid>
      <w:tr w:rsidR="00351971" w:rsidRPr="00A656DC" w:rsidTr="004C0840">
        <w:trPr>
          <w:trHeight w:val="300"/>
        </w:trPr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1" w:rsidRPr="00A656DC" w:rsidRDefault="00351971" w:rsidP="00A65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56DC">
              <w:rPr>
                <w:b/>
                <w:color w:val="000000"/>
                <w:sz w:val="22"/>
                <w:szCs w:val="22"/>
              </w:rPr>
              <w:t>Наименование рынка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1" w:rsidRPr="00A656DC" w:rsidRDefault="00351971" w:rsidP="004B0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1" w:rsidRPr="00A656DC" w:rsidRDefault="00351971" w:rsidP="003519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351971" w:rsidRPr="00A656DC" w:rsidTr="004C0840">
        <w:trPr>
          <w:trHeight w:val="1530"/>
        </w:trPr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971" w:rsidRPr="00A656DC" w:rsidRDefault="00351971" w:rsidP="00A656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1971" w:rsidRPr="00A656DC" w:rsidRDefault="00351971" w:rsidP="004B0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6DC">
              <w:rPr>
                <w:b/>
                <w:bCs/>
                <w:color w:val="000000"/>
                <w:sz w:val="22"/>
                <w:szCs w:val="22"/>
              </w:rPr>
              <w:t>Снизилось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1971" w:rsidRPr="00A656DC" w:rsidRDefault="00FF1DA9" w:rsidP="004B0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Увеличилось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1971" w:rsidRPr="00A656DC" w:rsidRDefault="00FF1DA9" w:rsidP="004B0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971" w:rsidRPr="00A656DC" w:rsidRDefault="00351971" w:rsidP="00A65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6DC">
              <w:rPr>
                <w:b/>
                <w:bCs/>
                <w:color w:val="000000"/>
                <w:sz w:val="22"/>
                <w:szCs w:val="22"/>
              </w:rPr>
              <w:t>Снизилось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971" w:rsidRPr="00A656DC" w:rsidRDefault="00351971" w:rsidP="00A65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6DC">
              <w:rPr>
                <w:b/>
                <w:bCs/>
                <w:color w:val="000000"/>
                <w:sz w:val="22"/>
                <w:szCs w:val="22"/>
              </w:rPr>
              <w:t xml:space="preserve">Увеличилось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971" w:rsidRPr="00A656DC" w:rsidRDefault="00351971" w:rsidP="00A65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6DC">
              <w:rPr>
                <w:b/>
                <w:bCs/>
                <w:color w:val="000000"/>
                <w:sz w:val="22"/>
                <w:szCs w:val="22"/>
              </w:rPr>
              <w:t xml:space="preserve">Не изменилось </w:t>
            </w:r>
          </w:p>
        </w:tc>
      </w:tr>
      <w:tr w:rsidR="00FF1DA9" w:rsidRPr="00A656DC" w:rsidTr="004C0840">
        <w:trPr>
          <w:trHeight w:val="193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услуг дошкольного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78,3</w:t>
            </w:r>
          </w:p>
        </w:tc>
      </w:tr>
      <w:tr w:rsidR="00FF1DA9" w:rsidRPr="00A656DC" w:rsidTr="004C0840">
        <w:trPr>
          <w:trHeight w:val="210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услуг общего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76,7</w:t>
            </w:r>
          </w:p>
        </w:tc>
      </w:tr>
      <w:tr w:rsidR="00FF1DA9" w:rsidRPr="00A656DC" w:rsidTr="004C0840">
        <w:trPr>
          <w:trHeight w:val="278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услуг среднего профессионального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79,8</w:t>
            </w:r>
          </w:p>
        </w:tc>
      </w:tr>
      <w:tr w:rsidR="00FF1DA9" w:rsidRPr="00A656DC" w:rsidTr="004C0840">
        <w:trPr>
          <w:trHeight w:val="257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услуг дополнительного образования детей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72,7</w:t>
            </w:r>
          </w:p>
        </w:tc>
      </w:tr>
      <w:tr w:rsidR="00FF1DA9" w:rsidRPr="00A656DC" w:rsidTr="004C0840">
        <w:trPr>
          <w:trHeight w:val="223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услуг детского отдыха и оздоровления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73,9</w:t>
            </w:r>
          </w:p>
        </w:tc>
      </w:tr>
      <w:tr w:rsidR="00FF1DA9" w:rsidRPr="00A656DC" w:rsidTr="004C0840">
        <w:trPr>
          <w:trHeight w:val="588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медицинских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65,6</w:t>
            </w:r>
          </w:p>
        </w:tc>
      </w:tr>
      <w:tr w:rsidR="00FF1DA9" w:rsidRPr="00A656DC" w:rsidTr="004C0840">
        <w:trPr>
          <w:trHeight w:val="396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13,4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64,8</w:t>
            </w:r>
          </w:p>
        </w:tc>
      </w:tr>
      <w:tr w:rsidR="00FF1DA9" w:rsidRPr="00A656DC" w:rsidTr="004C0840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71,9</w:t>
            </w:r>
          </w:p>
        </w:tc>
      </w:tr>
      <w:tr w:rsidR="00FF1DA9" w:rsidRPr="00A656DC" w:rsidTr="004C0840">
        <w:trPr>
          <w:trHeight w:val="174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социальных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76,7</w:t>
            </w:r>
          </w:p>
        </w:tc>
      </w:tr>
      <w:tr w:rsidR="00FF1DA9" w:rsidRPr="00A656DC" w:rsidTr="004C0840">
        <w:trPr>
          <w:trHeight w:val="600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lastRenderedPageBreak/>
              <w:t>Рынок ритуальных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14,4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66,8</w:t>
            </w:r>
          </w:p>
        </w:tc>
      </w:tr>
      <w:tr w:rsidR="00FF1DA9" w:rsidRPr="00A656DC" w:rsidTr="004C0840">
        <w:trPr>
          <w:trHeight w:val="600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теплоснабжения (производство тепловой энергии)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70,4</w:t>
            </w:r>
          </w:p>
        </w:tc>
      </w:tr>
      <w:tr w:rsidR="00FF1DA9" w:rsidRPr="00A656DC" w:rsidTr="004C0840">
        <w:trPr>
          <w:trHeight w:val="6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14,9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66,8</w:t>
            </w:r>
          </w:p>
        </w:tc>
      </w:tr>
      <w:tr w:rsidR="00FF1DA9" w:rsidRPr="00A656DC" w:rsidTr="004C0840">
        <w:trPr>
          <w:trHeight w:val="600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71,1</w:t>
            </w:r>
          </w:p>
        </w:tc>
      </w:tr>
      <w:tr w:rsidR="00FF1DA9" w:rsidRPr="00A656DC" w:rsidTr="004C0840">
        <w:trPr>
          <w:trHeight w:val="600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73,5</w:t>
            </w:r>
          </w:p>
        </w:tc>
      </w:tr>
      <w:tr w:rsidR="00FF1DA9" w:rsidRPr="00A656DC" w:rsidTr="004C0840">
        <w:trPr>
          <w:trHeight w:val="490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поставки сжиженного газа в баллонах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66,0</w:t>
            </w:r>
          </w:p>
        </w:tc>
      </w:tr>
      <w:tr w:rsidR="00FF1DA9" w:rsidRPr="00A656DC" w:rsidTr="004C0840">
        <w:trPr>
          <w:trHeight w:val="237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68,4</w:t>
            </w:r>
          </w:p>
        </w:tc>
      </w:tr>
      <w:tr w:rsidR="00FF1DA9" w:rsidRPr="00A656DC" w:rsidTr="004C0840">
        <w:trPr>
          <w:trHeight w:val="254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63,6</w:t>
            </w:r>
          </w:p>
        </w:tc>
      </w:tr>
      <w:tr w:rsidR="00FF1DA9" w:rsidRPr="00A656DC" w:rsidTr="004C0840">
        <w:trPr>
          <w:trHeight w:val="286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83,4</w:t>
            </w:r>
          </w:p>
        </w:tc>
      </w:tr>
      <w:tr w:rsidR="00FF1DA9" w:rsidRPr="00A656DC" w:rsidTr="004C0840">
        <w:trPr>
          <w:trHeight w:val="277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70,0</w:t>
            </w:r>
          </w:p>
        </w:tc>
      </w:tr>
      <w:tr w:rsidR="00FF1DA9" w:rsidRPr="00A656DC" w:rsidTr="004C0840">
        <w:trPr>
          <w:trHeight w:val="272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68,4</w:t>
            </w:r>
          </w:p>
        </w:tc>
      </w:tr>
      <w:tr w:rsidR="00FF1DA9" w:rsidRPr="00A656DC" w:rsidTr="004C0840">
        <w:trPr>
          <w:trHeight w:val="238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60,5</w:t>
            </w:r>
          </w:p>
        </w:tc>
      </w:tr>
      <w:tr w:rsidR="00FF1DA9" w:rsidRPr="00A656DC" w:rsidTr="004C0840">
        <w:trPr>
          <w:trHeight w:val="189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75,5</w:t>
            </w:r>
          </w:p>
        </w:tc>
      </w:tr>
      <w:tr w:rsidR="00FF1DA9" w:rsidRPr="00A656DC" w:rsidTr="004C0840">
        <w:trPr>
          <w:trHeight w:val="297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73,5</w:t>
            </w:r>
          </w:p>
        </w:tc>
      </w:tr>
      <w:tr w:rsidR="00FF1DA9" w:rsidRPr="00A656DC" w:rsidTr="004C0840">
        <w:trPr>
          <w:trHeight w:val="263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71,5</w:t>
            </w:r>
          </w:p>
        </w:tc>
      </w:tr>
      <w:tr w:rsidR="00FF1DA9" w:rsidRPr="00A656DC" w:rsidTr="004C0840">
        <w:trPr>
          <w:trHeight w:val="215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73,9</w:t>
            </w:r>
          </w:p>
        </w:tc>
      </w:tr>
      <w:tr w:rsidR="00FF1DA9" w:rsidRPr="00A656DC" w:rsidTr="004C0840">
        <w:trPr>
          <w:trHeight w:val="171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архитектурно-строительного проектирования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66,4</w:t>
            </w:r>
          </w:p>
        </w:tc>
      </w:tr>
      <w:tr w:rsidR="00FF1DA9" w:rsidRPr="00A656DC" w:rsidTr="004C0840">
        <w:trPr>
          <w:trHeight w:val="275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кадастровых и землеустроительных работ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71,9</w:t>
            </w:r>
          </w:p>
        </w:tc>
      </w:tr>
      <w:tr w:rsidR="00FF1DA9" w:rsidRPr="00A656DC" w:rsidTr="004C0840">
        <w:trPr>
          <w:trHeight w:val="178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реализации сельскохозяйственной продукции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15,8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64,0</w:t>
            </w:r>
          </w:p>
        </w:tc>
      </w:tr>
      <w:tr w:rsidR="00FF1DA9" w:rsidRPr="00A656DC" w:rsidTr="004C0840">
        <w:trPr>
          <w:trHeight w:val="414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73,9</w:t>
            </w:r>
          </w:p>
        </w:tc>
      </w:tr>
      <w:tr w:rsidR="00FF1DA9" w:rsidRPr="00A656DC" w:rsidTr="004C0840">
        <w:trPr>
          <w:trHeight w:val="238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племенного животноводства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68,4</w:t>
            </w:r>
          </w:p>
        </w:tc>
      </w:tr>
      <w:tr w:rsidR="00FF1DA9" w:rsidRPr="00A656DC" w:rsidTr="004C0840">
        <w:trPr>
          <w:trHeight w:val="269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lastRenderedPageBreak/>
              <w:t>Рынок семеноводства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73,1</w:t>
            </w:r>
          </w:p>
        </w:tc>
      </w:tr>
      <w:tr w:rsidR="00FF1DA9" w:rsidRPr="00A656DC" w:rsidTr="004C0840">
        <w:trPr>
          <w:trHeight w:val="535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вылова водных биоресурсов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73,9</w:t>
            </w:r>
          </w:p>
        </w:tc>
      </w:tr>
      <w:tr w:rsidR="00FF1DA9" w:rsidRPr="00A656DC" w:rsidTr="004C0840">
        <w:trPr>
          <w:trHeight w:val="535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переработки водных биоресурсов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68,0</w:t>
            </w:r>
          </w:p>
        </w:tc>
      </w:tr>
      <w:tr w:rsidR="00FF1DA9" w:rsidRPr="00A656DC" w:rsidTr="004C0840">
        <w:trPr>
          <w:trHeight w:val="390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70,8</w:t>
            </w:r>
          </w:p>
        </w:tc>
      </w:tr>
      <w:tr w:rsidR="00FF1DA9" w:rsidRPr="00A656DC" w:rsidTr="004C0840">
        <w:trPr>
          <w:trHeight w:val="411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73,1</w:t>
            </w:r>
          </w:p>
        </w:tc>
      </w:tr>
      <w:tr w:rsidR="00FF1DA9" w:rsidRPr="00A656DC" w:rsidTr="004C0840">
        <w:trPr>
          <w:trHeight w:val="416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нефтепродуктов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9,4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73,5</w:t>
            </w:r>
          </w:p>
        </w:tc>
      </w:tr>
      <w:tr w:rsidR="00FF1DA9" w:rsidRPr="00A656DC" w:rsidTr="004C0840">
        <w:trPr>
          <w:trHeight w:val="600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легкой промышленности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77,1</w:t>
            </w:r>
          </w:p>
        </w:tc>
      </w:tr>
      <w:tr w:rsidR="00FF1DA9" w:rsidRPr="00A656DC" w:rsidTr="004C0840">
        <w:trPr>
          <w:trHeight w:val="296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78,3</w:t>
            </w:r>
          </w:p>
        </w:tc>
      </w:tr>
      <w:tr w:rsidR="00FF1DA9" w:rsidRPr="00A656DC" w:rsidTr="004C0840">
        <w:trPr>
          <w:trHeight w:val="738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производства кирпича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80,6</w:t>
            </w:r>
          </w:p>
        </w:tc>
      </w:tr>
      <w:tr w:rsidR="00FF1DA9" w:rsidRPr="00A656DC" w:rsidTr="00B316C4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производства бетона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79,4</w:t>
            </w:r>
          </w:p>
        </w:tc>
      </w:tr>
      <w:tr w:rsidR="00FF1DA9" w:rsidRPr="00A656DC" w:rsidTr="00B316C4">
        <w:trPr>
          <w:trHeight w:val="41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Сфера наружной рекламы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19,3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66,8</w:t>
            </w:r>
          </w:p>
        </w:tc>
      </w:tr>
      <w:tr w:rsidR="00FF1DA9" w:rsidRPr="00A656DC" w:rsidTr="00B316C4">
        <w:trPr>
          <w:trHeight w:val="18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санаторно-курортных и туристских услуг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85,0</w:t>
            </w:r>
          </w:p>
        </w:tc>
      </w:tr>
      <w:tr w:rsidR="00FF1DA9" w:rsidRPr="00A656DC" w:rsidTr="00B316C4">
        <w:trPr>
          <w:trHeight w:val="47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A9" w:rsidRDefault="00FF1DA9">
            <w:pPr>
              <w:jc w:val="both"/>
            </w:pPr>
            <w:r>
              <w:t>Рынок минеральной воды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A9" w:rsidRDefault="00FF1DA9" w:rsidP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DA9" w:rsidRDefault="00FF1DA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85,0</w:t>
            </w:r>
          </w:p>
        </w:tc>
      </w:tr>
    </w:tbl>
    <w:p w:rsidR="00E90DF6" w:rsidRDefault="00E90DF6" w:rsidP="004D6428">
      <w:pPr>
        <w:ind w:firstLine="709"/>
        <w:jc w:val="both"/>
      </w:pPr>
    </w:p>
    <w:p w:rsidR="007F1336" w:rsidRPr="007F62FE" w:rsidRDefault="00E90DF6" w:rsidP="004D6428">
      <w:pPr>
        <w:ind w:firstLine="709"/>
        <w:jc w:val="both"/>
        <w:rPr>
          <w:sz w:val="28"/>
          <w:szCs w:val="28"/>
        </w:rPr>
      </w:pPr>
      <w:r w:rsidRPr="00FF1DA9">
        <w:rPr>
          <w:sz w:val="28"/>
          <w:szCs w:val="28"/>
        </w:rPr>
        <w:t>По мнению большинства участников опрошенных в течение последних трех лет увеличилось количество организаций</w:t>
      </w:r>
      <w:r w:rsidR="00492B20" w:rsidRPr="00FF1DA9">
        <w:t xml:space="preserve"> </w:t>
      </w:r>
      <w:r w:rsidR="00C77751" w:rsidRPr="00FF1DA9">
        <w:rPr>
          <w:sz w:val="28"/>
          <w:szCs w:val="28"/>
        </w:rPr>
        <w:t xml:space="preserve">оказания </w:t>
      </w:r>
      <w:r w:rsidR="00C77751" w:rsidRPr="007F62FE">
        <w:rPr>
          <w:sz w:val="28"/>
          <w:szCs w:val="28"/>
        </w:rPr>
        <w:t xml:space="preserve">услуг </w:t>
      </w:r>
      <w:r w:rsidR="007F62FE" w:rsidRPr="007F62FE">
        <w:rPr>
          <w:sz w:val="28"/>
          <w:szCs w:val="28"/>
        </w:rPr>
        <w:t>по поставке сжиженного газа в баллонах</w:t>
      </w:r>
      <w:r w:rsidR="007F62FE">
        <w:rPr>
          <w:sz w:val="28"/>
          <w:szCs w:val="28"/>
        </w:rPr>
        <w:t xml:space="preserve">, </w:t>
      </w:r>
      <w:r w:rsidR="007F62FE" w:rsidRPr="007F62FE">
        <w:rPr>
          <w:sz w:val="28"/>
          <w:szCs w:val="28"/>
        </w:rPr>
        <w:t>купли-продажи электрической энергии (мощности) на розничном рынке электрической энергии (мощности)</w:t>
      </w:r>
      <w:r w:rsidR="007F62FE">
        <w:rPr>
          <w:sz w:val="28"/>
          <w:szCs w:val="28"/>
        </w:rPr>
        <w:t xml:space="preserve"> и </w:t>
      </w:r>
      <w:r w:rsidR="007F62FE" w:rsidRPr="007F62FE">
        <w:rPr>
          <w:sz w:val="28"/>
          <w:szCs w:val="28"/>
        </w:rPr>
        <w:t>оказания услуг по перевозке пассажиров автомобильным транспортом по межмуниципальным маршрутам регулярных перевозок</w:t>
      </w:r>
      <w:r w:rsidR="007F62FE">
        <w:rPr>
          <w:sz w:val="28"/>
          <w:szCs w:val="28"/>
        </w:rPr>
        <w:t>.</w:t>
      </w:r>
    </w:p>
    <w:p w:rsidR="001F6518" w:rsidRPr="007F1336" w:rsidRDefault="001F6518" w:rsidP="004D6428">
      <w:pPr>
        <w:ind w:firstLine="709"/>
        <w:jc w:val="both"/>
        <w:rPr>
          <w:sz w:val="28"/>
          <w:szCs w:val="28"/>
        </w:rPr>
      </w:pPr>
    </w:p>
    <w:p w:rsidR="009D11EC" w:rsidRPr="003D6AB2" w:rsidRDefault="003D6AB2" w:rsidP="003D6AB2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D11EC">
        <w:rPr>
          <w:b/>
          <w:sz w:val="28"/>
          <w:szCs w:val="28"/>
        </w:rPr>
        <w:t xml:space="preserve">Динамика </w:t>
      </w:r>
      <w:proofErr w:type="gramStart"/>
      <w:r w:rsidR="009D11EC">
        <w:rPr>
          <w:b/>
          <w:sz w:val="28"/>
          <w:szCs w:val="28"/>
        </w:rPr>
        <w:t>оценки качества услуг субъектов естественных монополий</w:t>
      </w:r>
      <w:proofErr w:type="gramEnd"/>
      <w:r w:rsidR="009D11EC">
        <w:rPr>
          <w:b/>
          <w:sz w:val="28"/>
          <w:szCs w:val="28"/>
        </w:rPr>
        <w:t xml:space="preserve"> в сравнении с прошлым годом.</w:t>
      </w:r>
    </w:p>
    <w:p w:rsidR="003D6AB2" w:rsidRPr="007F62FE" w:rsidRDefault="003D6AB2" w:rsidP="003D6AB2">
      <w:pPr>
        <w:pStyle w:val="Default"/>
        <w:ind w:firstLine="709"/>
        <w:jc w:val="both"/>
        <w:rPr>
          <w:color w:val="auto"/>
        </w:rPr>
      </w:pPr>
      <w:r w:rsidRPr="007460A4">
        <w:rPr>
          <w:sz w:val="28"/>
          <w:szCs w:val="28"/>
        </w:rPr>
        <w:t xml:space="preserve">Потребителям товаров и услуг было предложено оценить качество услуг субъектов естественных </w:t>
      </w:r>
      <w:r w:rsidRPr="00FE3D34">
        <w:rPr>
          <w:sz w:val="28"/>
          <w:szCs w:val="28"/>
        </w:rPr>
        <w:t xml:space="preserve">монополий. Аналогично прошлому году большинство </w:t>
      </w:r>
      <w:r w:rsidRPr="007F62FE">
        <w:rPr>
          <w:color w:val="auto"/>
          <w:sz w:val="28"/>
          <w:szCs w:val="28"/>
        </w:rPr>
        <w:t xml:space="preserve">опрошенных отметили удовлетворенность качеством услуг; газоснабжения </w:t>
      </w:r>
      <w:r w:rsidR="00FB5D27" w:rsidRPr="007F62FE">
        <w:rPr>
          <w:color w:val="auto"/>
          <w:sz w:val="28"/>
          <w:szCs w:val="28"/>
        </w:rPr>
        <w:t>65,</w:t>
      </w:r>
      <w:r w:rsidR="007F62FE" w:rsidRPr="007F62FE">
        <w:rPr>
          <w:color w:val="auto"/>
          <w:sz w:val="28"/>
          <w:szCs w:val="28"/>
        </w:rPr>
        <w:t>2</w:t>
      </w:r>
      <w:r w:rsidRPr="007F62FE">
        <w:rPr>
          <w:color w:val="auto"/>
          <w:sz w:val="28"/>
          <w:szCs w:val="28"/>
        </w:rPr>
        <w:t>%</w:t>
      </w:r>
      <w:r w:rsidR="00527340" w:rsidRPr="007F62FE">
        <w:rPr>
          <w:color w:val="auto"/>
          <w:sz w:val="28"/>
          <w:szCs w:val="28"/>
        </w:rPr>
        <w:t xml:space="preserve"> </w:t>
      </w:r>
      <w:r w:rsidR="00FB5D27" w:rsidRPr="007F62FE">
        <w:rPr>
          <w:color w:val="auto"/>
          <w:sz w:val="28"/>
          <w:szCs w:val="28"/>
        </w:rPr>
        <w:t xml:space="preserve"> </w:t>
      </w:r>
      <w:r w:rsidR="00527340" w:rsidRPr="007F62FE">
        <w:rPr>
          <w:color w:val="auto"/>
          <w:sz w:val="28"/>
          <w:szCs w:val="28"/>
        </w:rPr>
        <w:t>(</w:t>
      </w:r>
      <w:r w:rsidR="00FB5D27" w:rsidRPr="007F62FE">
        <w:rPr>
          <w:color w:val="auto"/>
          <w:sz w:val="28"/>
          <w:szCs w:val="28"/>
        </w:rPr>
        <w:t>в 202</w:t>
      </w:r>
      <w:r w:rsidR="0067264D" w:rsidRPr="007F62FE">
        <w:rPr>
          <w:color w:val="auto"/>
          <w:sz w:val="28"/>
          <w:szCs w:val="28"/>
        </w:rPr>
        <w:t>2</w:t>
      </w:r>
      <w:r w:rsidR="008C0C88" w:rsidRPr="007F62FE">
        <w:rPr>
          <w:color w:val="auto"/>
          <w:sz w:val="28"/>
          <w:szCs w:val="28"/>
        </w:rPr>
        <w:t xml:space="preserve"> году </w:t>
      </w:r>
      <w:r w:rsidR="00FB5D27" w:rsidRPr="007F62FE">
        <w:rPr>
          <w:color w:val="auto"/>
          <w:sz w:val="28"/>
          <w:szCs w:val="28"/>
        </w:rPr>
        <w:t>– 6</w:t>
      </w:r>
      <w:r w:rsidR="0067264D" w:rsidRPr="007F62FE">
        <w:rPr>
          <w:color w:val="auto"/>
          <w:sz w:val="28"/>
          <w:szCs w:val="28"/>
        </w:rPr>
        <w:t>5</w:t>
      </w:r>
      <w:r w:rsidR="00FB5D27" w:rsidRPr="007F62FE">
        <w:rPr>
          <w:color w:val="auto"/>
          <w:sz w:val="28"/>
          <w:szCs w:val="28"/>
        </w:rPr>
        <w:t>,</w:t>
      </w:r>
      <w:r w:rsidR="0067264D" w:rsidRPr="007F62FE">
        <w:rPr>
          <w:color w:val="auto"/>
          <w:sz w:val="28"/>
          <w:szCs w:val="28"/>
        </w:rPr>
        <w:t>8</w:t>
      </w:r>
      <w:r w:rsidR="00527340" w:rsidRPr="007F62FE">
        <w:rPr>
          <w:color w:val="auto"/>
          <w:sz w:val="28"/>
          <w:szCs w:val="28"/>
        </w:rPr>
        <w:t xml:space="preserve"> %)</w:t>
      </w:r>
      <w:r w:rsidRPr="007F62FE">
        <w:rPr>
          <w:color w:val="auto"/>
          <w:sz w:val="28"/>
          <w:szCs w:val="28"/>
        </w:rPr>
        <w:t>,  электро</w:t>
      </w:r>
      <w:r w:rsidR="00527340" w:rsidRPr="007F62FE">
        <w:rPr>
          <w:color w:val="auto"/>
          <w:sz w:val="28"/>
          <w:szCs w:val="28"/>
        </w:rPr>
        <w:t>сн</w:t>
      </w:r>
      <w:r w:rsidR="00FB5D27" w:rsidRPr="007F62FE">
        <w:rPr>
          <w:color w:val="auto"/>
          <w:sz w:val="28"/>
          <w:szCs w:val="28"/>
        </w:rPr>
        <w:t xml:space="preserve">абжение </w:t>
      </w:r>
      <w:r w:rsidR="007F62FE" w:rsidRPr="007F62FE">
        <w:rPr>
          <w:color w:val="auto"/>
          <w:sz w:val="28"/>
          <w:szCs w:val="28"/>
        </w:rPr>
        <w:t>68,4</w:t>
      </w:r>
      <w:r w:rsidR="00FB5D27" w:rsidRPr="007F62FE">
        <w:rPr>
          <w:color w:val="auto"/>
          <w:sz w:val="28"/>
          <w:szCs w:val="28"/>
        </w:rPr>
        <w:t xml:space="preserve"> </w:t>
      </w:r>
      <w:r w:rsidRPr="007F62FE">
        <w:rPr>
          <w:color w:val="auto"/>
          <w:sz w:val="28"/>
          <w:szCs w:val="28"/>
        </w:rPr>
        <w:t>%</w:t>
      </w:r>
      <w:r w:rsidR="00527340" w:rsidRPr="007F62FE">
        <w:rPr>
          <w:color w:val="auto"/>
          <w:sz w:val="28"/>
          <w:szCs w:val="28"/>
        </w:rPr>
        <w:t xml:space="preserve"> (</w:t>
      </w:r>
      <w:r w:rsidR="00FB5D27" w:rsidRPr="007F62FE">
        <w:rPr>
          <w:color w:val="auto"/>
          <w:sz w:val="28"/>
          <w:szCs w:val="28"/>
        </w:rPr>
        <w:t>в 202</w:t>
      </w:r>
      <w:r w:rsidR="0067264D" w:rsidRPr="007F62FE">
        <w:rPr>
          <w:color w:val="auto"/>
          <w:sz w:val="28"/>
          <w:szCs w:val="28"/>
        </w:rPr>
        <w:t>2</w:t>
      </w:r>
      <w:r w:rsidR="008C0C88" w:rsidRPr="007F62FE">
        <w:rPr>
          <w:color w:val="auto"/>
          <w:sz w:val="28"/>
          <w:szCs w:val="28"/>
        </w:rPr>
        <w:t xml:space="preserve">году </w:t>
      </w:r>
      <w:r w:rsidR="00FB5D27" w:rsidRPr="007F62FE">
        <w:rPr>
          <w:color w:val="auto"/>
          <w:sz w:val="28"/>
          <w:szCs w:val="28"/>
        </w:rPr>
        <w:t>– 6</w:t>
      </w:r>
      <w:r w:rsidR="0067264D" w:rsidRPr="007F62FE">
        <w:rPr>
          <w:color w:val="auto"/>
          <w:sz w:val="28"/>
          <w:szCs w:val="28"/>
        </w:rPr>
        <w:t>7</w:t>
      </w:r>
      <w:r w:rsidR="00FB5D27" w:rsidRPr="007F62FE">
        <w:rPr>
          <w:color w:val="auto"/>
          <w:sz w:val="28"/>
          <w:szCs w:val="28"/>
        </w:rPr>
        <w:t>,8</w:t>
      </w:r>
      <w:r w:rsidR="00527340" w:rsidRPr="007F62FE">
        <w:rPr>
          <w:color w:val="auto"/>
          <w:sz w:val="28"/>
          <w:szCs w:val="28"/>
        </w:rPr>
        <w:t xml:space="preserve"> %)</w:t>
      </w:r>
      <w:r w:rsidRPr="007F62FE">
        <w:rPr>
          <w:color w:val="auto"/>
          <w:sz w:val="28"/>
          <w:szCs w:val="28"/>
        </w:rPr>
        <w:t xml:space="preserve"> </w:t>
      </w:r>
      <w:r w:rsidR="00527340" w:rsidRPr="007F62FE">
        <w:rPr>
          <w:color w:val="auto"/>
          <w:sz w:val="28"/>
          <w:szCs w:val="28"/>
        </w:rPr>
        <w:t>и</w:t>
      </w:r>
      <w:r w:rsidRPr="007F62FE">
        <w:rPr>
          <w:color w:val="auto"/>
          <w:sz w:val="28"/>
          <w:szCs w:val="28"/>
        </w:rPr>
        <w:t xml:space="preserve"> </w:t>
      </w:r>
      <w:r w:rsidR="00FB5D27" w:rsidRPr="007F62FE">
        <w:rPr>
          <w:color w:val="auto"/>
          <w:sz w:val="28"/>
          <w:szCs w:val="28"/>
        </w:rPr>
        <w:t>телефонной связи, сети «Интернет»</w:t>
      </w:r>
      <w:r w:rsidRPr="007F62FE">
        <w:rPr>
          <w:color w:val="auto"/>
          <w:sz w:val="28"/>
          <w:szCs w:val="28"/>
        </w:rPr>
        <w:t xml:space="preserve"> </w:t>
      </w:r>
      <w:r w:rsidR="00FB5D27" w:rsidRPr="007F62FE">
        <w:rPr>
          <w:color w:val="auto"/>
          <w:sz w:val="28"/>
          <w:szCs w:val="28"/>
        </w:rPr>
        <w:t xml:space="preserve"> </w:t>
      </w:r>
      <w:r w:rsidR="007F62FE" w:rsidRPr="007F62FE">
        <w:rPr>
          <w:color w:val="auto"/>
          <w:sz w:val="28"/>
          <w:szCs w:val="28"/>
        </w:rPr>
        <w:t>70,4</w:t>
      </w:r>
      <w:r w:rsidR="00FB5D27" w:rsidRPr="007F62FE">
        <w:rPr>
          <w:color w:val="auto"/>
          <w:sz w:val="28"/>
          <w:szCs w:val="28"/>
        </w:rPr>
        <w:t xml:space="preserve"> </w:t>
      </w:r>
      <w:r w:rsidR="00FE3D34" w:rsidRPr="007F62FE">
        <w:rPr>
          <w:color w:val="auto"/>
          <w:sz w:val="28"/>
          <w:szCs w:val="28"/>
        </w:rPr>
        <w:t>% (</w:t>
      </w:r>
      <w:r w:rsidR="00FB5D27" w:rsidRPr="007F62FE">
        <w:rPr>
          <w:color w:val="auto"/>
          <w:sz w:val="28"/>
          <w:szCs w:val="28"/>
        </w:rPr>
        <w:t>в 202</w:t>
      </w:r>
      <w:r w:rsidR="0067264D" w:rsidRPr="007F62FE">
        <w:rPr>
          <w:color w:val="auto"/>
          <w:sz w:val="28"/>
          <w:szCs w:val="28"/>
        </w:rPr>
        <w:t>2</w:t>
      </w:r>
      <w:r w:rsidR="008C0C88" w:rsidRPr="007F62FE">
        <w:rPr>
          <w:color w:val="auto"/>
          <w:sz w:val="28"/>
          <w:szCs w:val="28"/>
        </w:rPr>
        <w:t xml:space="preserve"> году </w:t>
      </w:r>
      <w:r w:rsidR="00FB5D27" w:rsidRPr="007F62FE">
        <w:rPr>
          <w:color w:val="auto"/>
          <w:sz w:val="28"/>
          <w:szCs w:val="28"/>
        </w:rPr>
        <w:t>–</w:t>
      </w:r>
      <w:r w:rsidR="00FE3D34" w:rsidRPr="007F62FE">
        <w:rPr>
          <w:color w:val="auto"/>
          <w:sz w:val="28"/>
          <w:szCs w:val="28"/>
        </w:rPr>
        <w:t xml:space="preserve">  </w:t>
      </w:r>
      <w:r w:rsidR="0067264D" w:rsidRPr="007F62FE">
        <w:rPr>
          <w:color w:val="auto"/>
          <w:sz w:val="28"/>
          <w:szCs w:val="28"/>
        </w:rPr>
        <w:t>6</w:t>
      </w:r>
      <w:r w:rsidR="00FB5D27" w:rsidRPr="007F62FE">
        <w:rPr>
          <w:color w:val="auto"/>
          <w:sz w:val="28"/>
          <w:szCs w:val="28"/>
        </w:rPr>
        <w:t>7,8</w:t>
      </w:r>
      <w:r w:rsidR="00E465FD" w:rsidRPr="007F62FE">
        <w:rPr>
          <w:color w:val="auto"/>
          <w:sz w:val="28"/>
          <w:szCs w:val="28"/>
        </w:rPr>
        <w:t xml:space="preserve"> </w:t>
      </w:r>
      <w:r w:rsidR="00FE3D34" w:rsidRPr="007F62FE">
        <w:rPr>
          <w:color w:val="auto"/>
          <w:sz w:val="28"/>
          <w:szCs w:val="28"/>
        </w:rPr>
        <w:t>%).</w:t>
      </w:r>
      <w:r w:rsidR="00867C68" w:rsidRPr="007F62FE">
        <w:rPr>
          <w:color w:val="auto"/>
          <w:sz w:val="28"/>
          <w:szCs w:val="28"/>
        </w:rPr>
        <w:t xml:space="preserve"> </w:t>
      </w:r>
    </w:p>
    <w:p w:rsidR="001F6518" w:rsidRDefault="001F6518" w:rsidP="00EC30C6">
      <w:pPr>
        <w:ind w:firstLine="709"/>
        <w:jc w:val="both"/>
        <w:rPr>
          <w:sz w:val="28"/>
          <w:szCs w:val="28"/>
        </w:rPr>
      </w:pPr>
    </w:p>
    <w:p w:rsidR="00A159E9" w:rsidRPr="009D11EC" w:rsidRDefault="00FE3D34" w:rsidP="00E52C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D11EC" w:rsidRPr="00FE3D34">
        <w:rPr>
          <w:b/>
          <w:sz w:val="28"/>
          <w:szCs w:val="28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9246F3" w:rsidRDefault="00FF5D3D" w:rsidP="00B73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проведенного исследования оценивалась доступность, понятность и удобство получения официальной информации о состоянии конкурентной среды на рынках товаров и услуг </w:t>
      </w:r>
      <w:r w:rsidR="00FE3D34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="0067264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  </w:t>
      </w:r>
    </w:p>
    <w:p w:rsidR="00E65C77" w:rsidRPr="007F62FE" w:rsidRDefault="00FD2B99" w:rsidP="00A159E9">
      <w:pPr>
        <w:ind w:firstLine="709"/>
        <w:jc w:val="both"/>
        <w:rPr>
          <w:sz w:val="28"/>
          <w:szCs w:val="28"/>
        </w:rPr>
      </w:pPr>
      <w:r w:rsidRPr="007F62FE">
        <w:rPr>
          <w:sz w:val="28"/>
          <w:szCs w:val="28"/>
        </w:rPr>
        <w:t xml:space="preserve">По мнению </w:t>
      </w:r>
      <w:r w:rsidR="007F62FE" w:rsidRPr="007F62FE">
        <w:rPr>
          <w:sz w:val="28"/>
          <w:szCs w:val="28"/>
        </w:rPr>
        <w:t>72,2</w:t>
      </w:r>
      <w:r w:rsidR="00FE3D34" w:rsidRPr="007F62FE">
        <w:rPr>
          <w:sz w:val="28"/>
          <w:szCs w:val="28"/>
        </w:rPr>
        <w:t xml:space="preserve"> </w:t>
      </w:r>
      <w:r w:rsidR="001E698F" w:rsidRPr="007F62FE">
        <w:rPr>
          <w:sz w:val="28"/>
          <w:szCs w:val="28"/>
        </w:rPr>
        <w:t xml:space="preserve">% </w:t>
      </w:r>
      <w:r w:rsidRPr="007F62FE">
        <w:rPr>
          <w:sz w:val="28"/>
          <w:szCs w:val="28"/>
        </w:rPr>
        <w:t>респондентов</w:t>
      </w:r>
      <w:r w:rsidR="00FF5D3D" w:rsidRPr="007F62FE">
        <w:rPr>
          <w:sz w:val="28"/>
          <w:szCs w:val="28"/>
        </w:rPr>
        <w:t xml:space="preserve"> </w:t>
      </w:r>
      <w:r w:rsidR="00AE0E75" w:rsidRPr="007F62FE">
        <w:rPr>
          <w:sz w:val="28"/>
          <w:szCs w:val="28"/>
        </w:rPr>
        <w:t>(</w:t>
      </w:r>
      <w:r w:rsidR="00A93B73" w:rsidRPr="007F62FE">
        <w:rPr>
          <w:sz w:val="28"/>
          <w:szCs w:val="28"/>
        </w:rPr>
        <w:t>6</w:t>
      </w:r>
      <w:r w:rsidR="0067264D" w:rsidRPr="007F62FE">
        <w:rPr>
          <w:sz w:val="28"/>
          <w:szCs w:val="28"/>
        </w:rPr>
        <w:t>8,3</w:t>
      </w:r>
      <w:r w:rsidR="00FE3D34" w:rsidRPr="007F62FE">
        <w:rPr>
          <w:sz w:val="28"/>
          <w:szCs w:val="28"/>
        </w:rPr>
        <w:t xml:space="preserve"> </w:t>
      </w:r>
      <w:r w:rsidRPr="007F62FE">
        <w:rPr>
          <w:sz w:val="28"/>
          <w:szCs w:val="28"/>
        </w:rPr>
        <w:t>%</w:t>
      </w:r>
      <w:r w:rsidR="00A93B73" w:rsidRPr="007F62FE">
        <w:rPr>
          <w:sz w:val="28"/>
          <w:szCs w:val="28"/>
        </w:rPr>
        <w:t xml:space="preserve"> в 202</w:t>
      </w:r>
      <w:r w:rsidR="0067264D" w:rsidRPr="007F62FE">
        <w:rPr>
          <w:sz w:val="28"/>
          <w:szCs w:val="28"/>
        </w:rPr>
        <w:t>2</w:t>
      </w:r>
      <w:r w:rsidR="009246F3" w:rsidRPr="007F62FE">
        <w:rPr>
          <w:sz w:val="28"/>
          <w:szCs w:val="28"/>
        </w:rPr>
        <w:t xml:space="preserve"> году</w:t>
      </w:r>
      <w:r w:rsidRPr="007F62FE">
        <w:rPr>
          <w:sz w:val="28"/>
          <w:szCs w:val="28"/>
        </w:rPr>
        <w:t>), официальная информация</w:t>
      </w:r>
      <w:r w:rsidR="003E03E9" w:rsidRPr="007F62FE">
        <w:rPr>
          <w:sz w:val="28"/>
          <w:szCs w:val="28"/>
        </w:rPr>
        <w:t xml:space="preserve"> о состоянии конкурентной среды на товарных рынках, размещаемой </w:t>
      </w:r>
      <w:r w:rsidR="006C44F8" w:rsidRPr="007F62FE">
        <w:rPr>
          <w:sz w:val="28"/>
          <w:szCs w:val="28"/>
        </w:rPr>
        <w:t>в открытом доступе,</w:t>
      </w:r>
      <w:r w:rsidRPr="007F62FE">
        <w:rPr>
          <w:sz w:val="28"/>
          <w:szCs w:val="28"/>
        </w:rPr>
        <w:t xml:space="preserve"> стала более доступной</w:t>
      </w:r>
      <w:r w:rsidR="003E03E9" w:rsidRPr="007F62FE">
        <w:rPr>
          <w:sz w:val="28"/>
          <w:szCs w:val="28"/>
        </w:rPr>
        <w:t>.</w:t>
      </w:r>
      <w:r w:rsidR="00A159E9" w:rsidRPr="007F62FE">
        <w:rPr>
          <w:sz w:val="28"/>
          <w:szCs w:val="28"/>
        </w:rPr>
        <w:t xml:space="preserve"> </w:t>
      </w:r>
      <w:r w:rsidR="005E47A9" w:rsidRPr="007F62FE">
        <w:rPr>
          <w:sz w:val="28"/>
          <w:szCs w:val="28"/>
        </w:rPr>
        <w:t xml:space="preserve">Уровень </w:t>
      </w:r>
      <w:r w:rsidR="00A159E9" w:rsidRPr="007F62FE">
        <w:rPr>
          <w:sz w:val="28"/>
          <w:szCs w:val="28"/>
        </w:rPr>
        <w:t xml:space="preserve">понятности размещаемой информации </w:t>
      </w:r>
      <w:r w:rsidR="005E47A9" w:rsidRPr="007F62FE">
        <w:rPr>
          <w:sz w:val="28"/>
          <w:szCs w:val="28"/>
        </w:rPr>
        <w:t xml:space="preserve">также высокий, об этом заявили  </w:t>
      </w:r>
      <w:r w:rsidR="007F62FE" w:rsidRPr="007F62FE">
        <w:rPr>
          <w:sz w:val="28"/>
          <w:szCs w:val="28"/>
        </w:rPr>
        <w:t>71,5</w:t>
      </w:r>
      <w:r w:rsidR="00A93B73" w:rsidRPr="007F62FE">
        <w:rPr>
          <w:sz w:val="28"/>
          <w:szCs w:val="28"/>
        </w:rPr>
        <w:t xml:space="preserve"> </w:t>
      </w:r>
      <w:r w:rsidR="005E47A9" w:rsidRPr="007F62FE">
        <w:rPr>
          <w:sz w:val="28"/>
          <w:szCs w:val="28"/>
        </w:rPr>
        <w:t xml:space="preserve"> % </w:t>
      </w:r>
      <w:r w:rsidR="005E47A9" w:rsidRPr="007F62FE">
        <w:rPr>
          <w:sz w:val="28"/>
          <w:szCs w:val="28"/>
        </w:rPr>
        <w:lastRenderedPageBreak/>
        <w:t>респондентов (</w:t>
      </w:r>
      <w:r w:rsidR="0067264D" w:rsidRPr="007F62FE">
        <w:rPr>
          <w:sz w:val="28"/>
          <w:szCs w:val="28"/>
        </w:rPr>
        <w:t>62,9</w:t>
      </w:r>
      <w:r w:rsidR="00A93B73" w:rsidRPr="007F62FE">
        <w:rPr>
          <w:sz w:val="28"/>
          <w:szCs w:val="28"/>
        </w:rPr>
        <w:t xml:space="preserve"> % в 202</w:t>
      </w:r>
      <w:r w:rsidR="0067264D" w:rsidRPr="007F62FE">
        <w:rPr>
          <w:sz w:val="28"/>
          <w:szCs w:val="28"/>
        </w:rPr>
        <w:t>2</w:t>
      </w:r>
      <w:r w:rsidR="005E47A9" w:rsidRPr="007F62FE">
        <w:rPr>
          <w:sz w:val="28"/>
          <w:szCs w:val="28"/>
        </w:rPr>
        <w:t xml:space="preserve"> году)</w:t>
      </w:r>
      <w:r w:rsidR="00322A44" w:rsidRPr="007F62FE">
        <w:rPr>
          <w:sz w:val="28"/>
          <w:szCs w:val="28"/>
        </w:rPr>
        <w:t>, а</w:t>
      </w:r>
      <w:r w:rsidR="008A7A3F" w:rsidRPr="007F62FE">
        <w:rPr>
          <w:sz w:val="28"/>
          <w:szCs w:val="28"/>
        </w:rPr>
        <w:t xml:space="preserve"> число удовлетворенных удобством получения информации составило</w:t>
      </w:r>
      <w:r w:rsidR="00E65C77" w:rsidRPr="007F62FE">
        <w:rPr>
          <w:sz w:val="28"/>
          <w:szCs w:val="28"/>
        </w:rPr>
        <w:t xml:space="preserve"> </w:t>
      </w:r>
      <w:r w:rsidR="007F62FE" w:rsidRPr="007F62FE">
        <w:rPr>
          <w:sz w:val="28"/>
          <w:szCs w:val="28"/>
        </w:rPr>
        <w:t>73,1</w:t>
      </w:r>
      <w:r w:rsidR="005E47A9" w:rsidRPr="007F62FE">
        <w:rPr>
          <w:sz w:val="28"/>
          <w:szCs w:val="28"/>
        </w:rPr>
        <w:t xml:space="preserve"> </w:t>
      </w:r>
      <w:r w:rsidR="00322A44" w:rsidRPr="007F62FE">
        <w:rPr>
          <w:sz w:val="28"/>
          <w:szCs w:val="28"/>
        </w:rPr>
        <w:t xml:space="preserve">% </w:t>
      </w:r>
      <w:r w:rsidR="00A93B73" w:rsidRPr="007F62FE">
        <w:rPr>
          <w:sz w:val="28"/>
          <w:szCs w:val="28"/>
        </w:rPr>
        <w:t>(</w:t>
      </w:r>
      <w:r w:rsidR="0067264D" w:rsidRPr="007F62FE">
        <w:rPr>
          <w:sz w:val="28"/>
          <w:szCs w:val="28"/>
        </w:rPr>
        <w:t>6</w:t>
      </w:r>
      <w:r w:rsidR="00A93B73" w:rsidRPr="007F62FE">
        <w:rPr>
          <w:sz w:val="28"/>
          <w:szCs w:val="28"/>
        </w:rPr>
        <w:t>1</w:t>
      </w:r>
      <w:r w:rsidR="0067264D" w:rsidRPr="007F62FE">
        <w:rPr>
          <w:sz w:val="28"/>
          <w:szCs w:val="28"/>
        </w:rPr>
        <w:t>,4</w:t>
      </w:r>
      <w:r w:rsidR="00A93B73" w:rsidRPr="007F62FE">
        <w:rPr>
          <w:sz w:val="28"/>
          <w:szCs w:val="28"/>
        </w:rPr>
        <w:t xml:space="preserve"> % в 202</w:t>
      </w:r>
      <w:r w:rsidR="0067264D" w:rsidRPr="007F62FE">
        <w:rPr>
          <w:sz w:val="28"/>
          <w:szCs w:val="28"/>
        </w:rPr>
        <w:t>2</w:t>
      </w:r>
      <w:r w:rsidR="00B73C40" w:rsidRPr="007F62FE">
        <w:rPr>
          <w:sz w:val="28"/>
          <w:szCs w:val="28"/>
        </w:rPr>
        <w:t xml:space="preserve"> году)</w:t>
      </w:r>
      <w:r w:rsidR="00322A44" w:rsidRPr="007F62FE">
        <w:rPr>
          <w:sz w:val="28"/>
          <w:szCs w:val="28"/>
        </w:rPr>
        <w:t>.</w:t>
      </w:r>
      <w:r w:rsidR="00E65C77" w:rsidRPr="007F62FE">
        <w:rPr>
          <w:sz w:val="28"/>
          <w:szCs w:val="28"/>
        </w:rPr>
        <w:t xml:space="preserve"> </w:t>
      </w:r>
    </w:p>
    <w:p w:rsidR="002A3013" w:rsidRPr="00DF5E97" w:rsidRDefault="00E87680" w:rsidP="002A3013">
      <w:pPr>
        <w:ind w:firstLine="708"/>
        <w:jc w:val="both"/>
        <w:rPr>
          <w:sz w:val="28"/>
          <w:szCs w:val="28"/>
        </w:rPr>
      </w:pPr>
      <w:r w:rsidRPr="007F62FE">
        <w:rPr>
          <w:sz w:val="28"/>
          <w:szCs w:val="28"/>
        </w:rPr>
        <w:t>Наиболее популярные источниками информации о состоянии конкурентной среды на рынках товаров, работ и услуг Ставропольского</w:t>
      </w:r>
      <w:r>
        <w:rPr>
          <w:sz w:val="28"/>
          <w:szCs w:val="28"/>
        </w:rPr>
        <w:t xml:space="preserve"> края и деятельности органов власти по содействию развитию конкуренции в </w:t>
      </w:r>
      <w:r w:rsidR="002A3013">
        <w:rPr>
          <w:sz w:val="28"/>
          <w:szCs w:val="28"/>
        </w:rPr>
        <w:t xml:space="preserve">регионе являются официальные сайты органов исполнительной власти Ставропольского края и местного самоуправления, а также </w:t>
      </w:r>
      <w:r w:rsidR="002A3013" w:rsidRPr="002A3013">
        <w:rPr>
          <w:sz w:val="28"/>
          <w:szCs w:val="28"/>
        </w:rPr>
        <w:t xml:space="preserve"> </w:t>
      </w:r>
      <w:proofErr w:type="spellStart"/>
      <w:r w:rsidR="002A3013" w:rsidRPr="002A3013">
        <w:rPr>
          <w:sz w:val="28"/>
          <w:szCs w:val="28"/>
        </w:rPr>
        <w:t>блоги</w:t>
      </w:r>
      <w:proofErr w:type="spellEnd"/>
      <w:r w:rsidR="002A3013" w:rsidRPr="002A3013">
        <w:rPr>
          <w:sz w:val="28"/>
          <w:szCs w:val="28"/>
        </w:rPr>
        <w:t>, порталы и прочие электронные ресурсы</w:t>
      </w:r>
      <w:r w:rsidR="00571B9F">
        <w:rPr>
          <w:sz w:val="28"/>
          <w:szCs w:val="28"/>
        </w:rPr>
        <w:t xml:space="preserve">, об этом </w:t>
      </w:r>
      <w:r w:rsidR="00571B9F" w:rsidRPr="000B4896">
        <w:rPr>
          <w:sz w:val="28"/>
          <w:szCs w:val="28"/>
        </w:rPr>
        <w:t xml:space="preserve">заявили  </w:t>
      </w:r>
      <w:r w:rsidR="000B4896" w:rsidRPr="000B4896">
        <w:rPr>
          <w:sz w:val="28"/>
          <w:szCs w:val="28"/>
        </w:rPr>
        <w:t>57,3</w:t>
      </w:r>
      <w:r w:rsidR="00571B9F" w:rsidRPr="000B4896">
        <w:rPr>
          <w:sz w:val="28"/>
          <w:szCs w:val="28"/>
        </w:rPr>
        <w:t xml:space="preserve"> %</w:t>
      </w:r>
      <w:r w:rsidR="00571B9F">
        <w:rPr>
          <w:sz w:val="28"/>
          <w:szCs w:val="28"/>
        </w:rPr>
        <w:t xml:space="preserve"> опрошенных.</w:t>
      </w:r>
      <w:r w:rsidR="002A3013">
        <w:rPr>
          <w:sz w:val="28"/>
          <w:szCs w:val="28"/>
        </w:rPr>
        <w:t xml:space="preserve"> Но источниками информации, которым больше всего доверяют, потребители указывали </w:t>
      </w:r>
      <w:r w:rsidR="000B4896">
        <w:rPr>
          <w:sz w:val="28"/>
          <w:szCs w:val="28"/>
        </w:rPr>
        <w:t xml:space="preserve">телевиденье и  </w:t>
      </w:r>
      <w:r w:rsidR="002A3013" w:rsidRPr="00E76D13">
        <w:rPr>
          <w:sz w:val="28"/>
          <w:szCs w:val="28"/>
        </w:rPr>
        <w:t xml:space="preserve"> </w:t>
      </w:r>
      <w:r w:rsidR="000B4896" w:rsidRPr="00DF5E97">
        <w:rPr>
          <w:sz w:val="28"/>
          <w:szCs w:val="28"/>
        </w:rPr>
        <w:t xml:space="preserve">официальная информация, размещенная на официальном сайте ФАС России в информационно-телекоммуникационной сети «Интернет» </w:t>
      </w:r>
      <w:r w:rsidR="008C0C88" w:rsidRPr="00DF5E97">
        <w:rPr>
          <w:sz w:val="28"/>
          <w:szCs w:val="28"/>
        </w:rPr>
        <w:t xml:space="preserve">- </w:t>
      </w:r>
      <w:r w:rsidR="000B4896" w:rsidRPr="00DF5E97">
        <w:rPr>
          <w:sz w:val="28"/>
          <w:szCs w:val="28"/>
        </w:rPr>
        <w:t>32</w:t>
      </w:r>
      <w:r w:rsidR="002A3013" w:rsidRPr="00DF5E97">
        <w:rPr>
          <w:sz w:val="28"/>
          <w:szCs w:val="28"/>
        </w:rPr>
        <w:t xml:space="preserve"> %.</w:t>
      </w:r>
    </w:p>
    <w:p w:rsidR="002A3013" w:rsidRPr="00E76D13" w:rsidRDefault="002A3013" w:rsidP="002A3013">
      <w:pPr>
        <w:jc w:val="both"/>
        <w:rPr>
          <w:b/>
          <w:sz w:val="28"/>
          <w:szCs w:val="28"/>
        </w:rPr>
      </w:pPr>
      <w:r w:rsidRPr="00DF5E97">
        <w:rPr>
          <w:b/>
          <w:sz w:val="28"/>
          <w:szCs w:val="28"/>
        </w:rPr>
        <w:t xml:space="preserve">6. Мониторинг удовлетворенности деятельностью в сфере финансовых услуг, а также доступности для населения </w:t>
      </w:r>
      <w:r w:rsidR="00D773BF" w:rsidRPr="00DF5E97">
        <w:rPr>
          <w:b/>
          <w:sz w:val="28"/>
          <w:szCs w:val="28"/>
        </w:rPr>
        <w:t>финансовых услуг.</w:t>
      </w:r>
    </w:p>
    <w:p w:rsidR="00DF1597" w:rsidRPr="00014ACD" w:rsidRDefault="00DF1597" w:rsidP="00DF1597">
      <w:pPr>
        <w:ind w:firstLine="709"/>
        <w:jc w:val="both"/>
        <w:rPr>
          <w:sz w:val="28"/>
          <w:szCs w:val="28"/>
        </w:rPr>
      </w:pPr>
      <w:r w:rsidRPr="00E76D13">
        <w:rPr>
          <w:sz w:val="28"/>
          <w:szCs w:val="28"/>
        </w:rPr>
        <w:t xml:space="preserve">В результате проведенного мониторинга работой финансовых организаций </w:t>
      </w:r>
      <w:proofErr w:type="gramStart"/>
      <w:r w:rsidRPr="00E76D13">
        <w:rPr>
          <w:sz w:val="28"/>
          <w:szCs w:val="28"/>
        </w:rPr>
        <w:t>такими</w:t>
      </w:r>
      <w:proofErr w:type="gramEnd"/>
      <w:r w:rsidRPr="00E76D13">
        <w:rPr>
          <w:sz w:val="28"/>
          <w:szCs w:val="28"/>
        </w:rPr>
        <w:t xml:space="preserve"> как: банки, </w:t>
      </w:r>
      <w:proofErr w:type="spellStart"/>
      <w:r w:rsidRPr="00E76D13">
        <w:rPr>
          <w:sz w:val="28"/>
          <w:szCs w:val="28"/>
        </w:rPr>
        <w:t>микрофинансовые</w:t>
      </w:r>
      <w:proofErr w:type="spellEnd"/>
      <w:r w:rsidRPr="00E76D13">
        <w:rPr>
          <w:sz w:val="28"/>
          <w:szCs w:val="28"/>
        </w:rPr>
        <w:t xml:space="preserve"> организации, ломбарды, субъекты страхового дела (страховые организации, общества взаимного страхования</w:t>
      </w:r>
      <w:r w:rsidRPr="00014ACD">
        <w:rPr>
          <w:sz w:val="28"/>
          <w:szCs w:val="28"/>
        </w:rPr>
        <w:t xml:space="preserve"> и страховые брокеры)</w:t>
      </w:r>
      <w:r>
        <w:rPr>
          <w:sz w:val="28"/>
          <w:szCs w:val="28"/>
        </w:rPr>
        <w:t>, с</w:t>
      </w:r>
      <w:r w:rsidRPr="00014ACD">
        <w:rPr>
          <w:sz w:val="28"/>
          <w:szCs w:val="28"/>
        </w:rPr>
        <w:t>ельскохозяйственные кредитные потребительские кооперативы</w:t>
      </w:r>
      <w:r>
        <w:rPr>
          <w:sz w:val="28"/>
          <w:szCs w:val="28"/>
        </w:rPr>
        <w:t>, негосударственных</w:t>
      </w:r>
      <w:r w:rsidRPr="00014ACD">
        <w:rPr>
          <w:sz w:val="28"/>
          <w:szCs w:val="28"/>
        </w:rPr>
        <w:t xml:space="preserve"> пен</w:t>
      </w:r>
      <w:r>
        <w:rPr>
          <w:sz w:val="28"/>
          <w:szCs w:val="28"/>
        </w:rPr>
        <w:t xml:space="preserve">сионных фондов удовлетворены в среднем </w:t>
      </w:r>
      <w:r w:rsidRPr="00452B6C">
        <w:rPr>
          <w:sz w:val="28"/>
          <w:szCs w:val="28"/>
        </w:rPr>
        <w:t>- 3</w:t>
      </w:r>
      <w:r w:rsidR="00452B6C" w:rsidRPr="00452B6C">
        <w:rPr>
          <w:sz w:val="28"/>
          <w:szCs w:val="28"/>
        </w:rPr>
        <w:t>6,8</w:t>
      </w:r>
      <w:r w:rsidRPr="00452B6C">
        <w:rPr>
          <w:sz w:val="28"/>
          <w:szCs w:val="28"/>
        </w:rPr>
        <w:t xml:space="preserve"> %</w:t>
      </w:r>
      <w:r w:rsidR="00452B6C">
        <w:rPr>
          <w:sz w:val="28"/>
          <w:szCs w:val="28"/>
        </w:rPr>
        <w:t xml:space="preserve"> </w:t>
      </w:r>
      <w:r w:rsidR="00452B6C" w:rsidRPr="00452B6C">
        <w:rPr>
          <w:sz w:val="28"/>
          <w:szCs w:val="28"/>
        </w:rPr>
        <w:t>(</w:t>
      </w:r>
      <w:r w:rsidR="00452B6C">
        <w:rPr>
          <w:sz w:val="28"/>
          <w:szCs w:val="28"/>
        </w:rPr>
        <w:t>33</w:t>
      </w:r>
      <w:r w:rsidR="00452B6C" w:rsidRPr="00452B6C">
        <w:rPr>
          <w:sz w:val="28"/>
          <w:szCs w:val="28"/>
        </w:rPr>
        <w:t xml:space="preserve"> % в 2022 году)</w:t>
      </w:r>
      <w:r>
        <w:rPr>
          <w:sz w:val="28"/>
          <w:szCs w:val="28"/>
        </w:rPr>
        <w:t xml:space="preserve"> опрошенных респондентов.</w:t>
      </w:r>
    </w:p>
    <w:p w:rsidR="00DF1597" w:rsidRDefault="00DF1597" w:rsidP="00DF1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Работой кредитных потребительских кооперативов, брокеров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 xml:space="preserve"> </w:t>
      </w:r>
      <w:r w:rsidR="00452B6C" w:rsidRPr="00452B6C">
        <w:rPr>
          <w:sz w:val="28"/>
          <w:szCs w:val="28"/>
        </w:rPr>
        <w:t>–</w:t>
      </w:r>
      <w:r w:rsidRPr="00452B6C">
        <w:rPr>
          <w:sz w:val="28"/>
          <w:szCs w:val="28"/>
        </w:rPr>
        <w:t xml:space="preserve"> </w:t>
      </w:r>
      <w:r w:rsidR="00452B6C" w:rsidRPr="00452B6C">
        <w:rPr>
          <w:sz w:val="28"/>
          <w:szCs w:val="28"/>
        </w:rPr>
        <w:t>8,0</w:t>
      </w:r>
      <w:r w:rsidRPr="00452B6C">
        <w:rPr>
          <w:sz w:val="28"/>
          <w:szCs w:val="28"/>
        </w:rPr>
        <w:t xml:space="preserve"> % </w:t>
      </w:r>
      <w:r w:rsidR="00452B6C" w:rsidRPr="00452B6C">
        <w:rPr>
          <w:sz w:val="28"/>
          <w:szCs w:val="28"/>
        </w:rPr>
        <w:t>(</w:t>
      </w:r>
      <w:r w:rsidR="00452B6C">
        <w:rPr>
          <w:sz w:val="28"/>
          <w:szCs w:val="28"/>
        </w:rPr>
        <w:t>12</w:t>
      </w:r>
      <w:r w:rsidR="00452B6C" w:rsidRPr="00452B6C">
        <w:rPr>
          <w:sz w:val="28"/>
          <w:szCs w:val="28"/>
        </w:rPr>
        <w:t xml:space="preserve"> % в 2022 году)</w:t>
      </w:r>
      <w:r w:rsidR="00452B6C">
        <w:rPr>
          <w:sz w:val="28"/>
          <w:szCs w:val="28"/>
        </w:rPr>
        <w:t xml:space="preserve"> </w:t>
      </w:r>
      <w:r>
        <w:rPr>
          <w:sz w:val="28"/>
          <w:szCs w:val="28"/>
        </w:rPr>
        <w:t>опрошенных респондентов.</w:t>
      </w:r>
    </w:p>
    <w:p w:rsidR="00DF1597" w:rsidRPr="00452B6C" w:rsidRDefault="00DF1597" w:rsidP="00DF1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респондентов доверяют следующим финансовым организациям - б</w:t>
      </w:r>
      <w:r w:rsidRPr="00014ACD">
        <w:rPr>
          <w:sz w:val="28"/>
          <w:szCs w:val="28"/>
        </w:rPr>
        <w:t>анки</w:t>
      </w:r>
      <w:r>
        <w:rPr>
          <w:sz w:val="28"/>
          <w:szCs w:val="28"/>
        </w:rPr>
        <w:t>, с</w:t>
      </w:r>
      <w:r w:rsidRPr="00014ACD">
        <w:rPr>
          <w:sz w:val="28"/>
          <w:szCs w:val="28"/>
        </w:rPr>
        <w:t xml:space="preserve">убъекты страхового дела </w:t>
      </w:r>
      <w:r w:rsidRPr="00452B6C">
        <w:rPr>
          <w:sz w:val="28"/>
          <w:szCs w:val="28"/>
        </w:rPr>
        <w:t xml:space="preserve">(страховые организации, общества взаимного страхования и страховые брокеры), </w:t>
      </w:r>
      <w:r w:rsidR="00452B6C">
        <w:rPr>
          <w:sz w:val="28"/>
          <w:szCs w:val="28"/>
        </w:rPr>
        <w:t>негосударственные пенсионные фонды</w:t>
      </w:r>
      <w:r w:rsidRPr="00452B6C">
        <w:rPr>
          <w:sz w:val="28"/>
          <w:szCs w:val="28"/>
        </w:rPr>
        <w:t xml:space="preserve"> и составляет </w:t>
      </w:r>
      <w:r w:rsidR="00452B6C">
        <w:rPr>
          <w:sz w:val="28"/>
          <w:szCs w:val="28"/>
        </w:rPr>
        <w:t>в среднем –</w:t>
      </w:r>
      <w:r w:rsidRPr="00452B6C">
        <w:rPr>
          <w:sz w:val="28"/>
          <w:szCs w:val="28"/>
        </w:rPr>
        <w:t xml:space="preserve"> </w:t>
      </w:r>
      <w:r w:rsidR="00452B6C">
        <w:rPr>
          <w:sz w:val="28"/>
          <w:szCs w:val="28"/>
        </w:rPr>
        <w:t>31,4</w:t>
      </w:r>
      <w:r w:rsidRPr="00452B6C">
        <w:rPr>
          <w:sz w:val="28"/>
          <w:szCs w:val="28"/>
        </w:rPr>
        <w:t xml:space="preserve"> %</w:t>
      </w:r>
      <w:r w:rsidR="00452B6C" w:rsidRPr="00452B6C">
        <w:rPr>
          <w:sz w:val="28"/>
          <w:szCs w:val="28"/>
        </w:rPr>
        <w:t xml:space="preserve"> (35 % в 2022 году)</w:t>
      </w:r>
      <w:r w:rsidRPr="00452B6C">
        <w:rPr>
          <w:sz w:val="28"/>
          <w:szCs w:val="28"/>
        </w:rPr>
        <w:t xml:space="preserve"> опрошенных респондентов.</w:t>
      </w:r>
    </w:p>
    <w:p w:rsidR="00DF1597" w:rsidRPr="00452B6C" w:rsidRDefault="00DF1597" w:rsidP="00DF1597">
      <w:pPr>
        <w:ind w:firstLine="709"/>
        <w:jc w:val="both"/>
        <w:rPr>
          <w:sz w:val="28"/>
          <w:szCs w:val="28"/>
        </w:rPr>
      </w:pPr>
      <w:r w:rsidRPr="00452B6C">
        <w:rPr>
          <w:sz w:val="28"/>
          <w:szCs w:val="28"/>
        </w:rPr>
        <w:t>Количеством и</w:t>
      </w:r>
      <w:r w:rsidR="00452B6C" w:rsidRPr="00452B6C">
        <w:rPr>
          <w:sz w:val="28"/>
          <w:szCs w:val="28"/>
        </w:rPr>
        <w:t xml:space="preserve"> </w:t>
      </w:r>
      <w:r w:rsidRPr="00452B6C">
        <w:rPr>
          <w:sz w:val="28"/>
          <w:szCs w:val="28"/>
        </w:rPr>
        <w:t xml:space="preserve"> удобством расположения банковских отделений удовлетворены - </w:t>
      </w:r>
      <w:r w:rsidR="00AC7A88">
        <w:rPr>
          <w:sz w:val="28"/>
          <w:szCs w:val="28"/>
        </w:rPr>
        <w:t>47</w:t>
      </w:r>
      <w:r w:rsidRPr="00452B6C">
        <w:rPr>
          <w:sz w:val="28"/>
          <w:szCs w:val="28"/>
        </w:rPr>
        <w:t xml:space="preserve"> %</w:t>
      </w:r>
      <w:r w:rsidR="00452B6C" w:rsidRPr="00452B6C">
        <w:rPr>
          <w:sz w:val="28"/>
          <w:szCs w:val="28"/>
        </w:rPr>
        <w:t xml:space="preserve"> (</w:t>
      </w:r>
      <w:r w:rsidR="00452B6C">
        <w:rPr>
          <w:sz w:val="28"/>
          <w:szCs w:val="28"/>
        </w:rPr>
        <w:t>54</w:t>
      </w:r>
      <w:r w:rsidR="00452B6C" w:rsidRPr="00452B6C">
        <w:rPr>
          <w:sz w:val="28"/>
          <w:szCs w:val="28"/>
        </w:rPr>
        <w:t xml:space="preserve">% в 2022 году) </w:t>
      </w:r>
      <w:r w:rsidRPr="00452B6C">
        <w:rPr>
          <w:sz w:val="28"/>
          <w:szCs w:val="28"/>
        </w:rPr>
        <w:t xml:space="preserve"> от общего числа опрошенных респондентов, качеством дистанционного банковского обслуживания</w:t>
      </w:r>
      <w:r w:rsidR="00507EEC" w:rsidRPr="00452B6C">
        <w:rPr>
          <w:sz w:val="28"/>
          <w:szCs w:val="28"/>
        </w:rPr>
        <w:t xml:space="preserve"> удовлетворены - 60</w:t>
      </w:r>
      <w:r w:rsidRPr="00452B6C">
        <w:rPr>
          <w:sz w:val="28"/>
          <w:szCs w:val="28"/>
        </w:rPr>
        <w:t xml:space="preserve"> % </w:t>
      </w:r>
      <w:r w:rsidR="00452B6C" w:rsidRPr="00452B6C">
        <w:rPr>
          <w:sz w:val="28"/>
          <w:szCs w:val="28"/>
        </w:rPr>
        <w:t>(</w:t>
      </w:r>
      <w:r w:rsidR="00452B6C">
        <w:rPr>
          <w:sz w:val="28"/>
          <w:szCs w:val="28"/>
        </w:rPr>
        <w:t>60</w:t>
      </w:r>
      <w:r w:rsidR="00452B6C" w:rsidRPr="00452B6C">
        <w:rPr>
          <w:sz w:val="28"/>
          <w:szCs w:val="28"/>
        </w:rPr>
        <w:t xml:space="preserve"> % в 2022 году) </w:t>
      </w:r>
      <w:r w:rsidRPr="00452B6C">
        <w:rPr>
          <w:sz w:val="28"/>
          <w:szCs w:val="28"/>
        </w:rPr>
        <w:t>опрошенных респондентов.</w:t>
      </w:r>
    </w:p>
    <w:p w:rsidR="00B26BAB" w:rsidRDefault="00676B42" w:rsidP="00E52C8A">
      <w:pPr>
        <w:ind w:firstLine="708"/>
        <w:jc w:val="both"/>
        <w:rPr>
          <w:sz w:val="28"/>
          <w:szCs w:val="28"/>
        </w:rPr>
      </w:pPr>
      <w:r w:rsidRPr="00452B6C">
        <w:rPr>
          <w:sz w:val="28"/>
          <w:szCs w:val="28"/>
        </w:rPr>
        <w:t>При оценке деятельности</w:t>
      </w:r>
      <w:r w:rsidRPr="00507EEC">
        <w:rPr>
          <w:sz w:val="28"/>
          <w:szCs w:val="28"/>
        </w:rPr>
        <w:t xml:space="preserve"> финансовых орган</w:t>
      </w:r>
      <w:r w:rsidR="0067264D">
        <w:rPr>
          <w:sz w:val="28"/>
          <w:szCs w:val="28"/>
        </w:rPr>
        <w:t>изаций число довольных их работо</w:t>
      </w:r>
      <w:r w:rsidRPr="00507EEC">
        <w:rPr>
          <w:sz w:val="28"/>
          <w:szCs w:val="28"/>
        </w:rPr>
        <w:t>й</w:t>
      </w:r>
      <w:r w:rsidR="008926E9" w:rsidRPr="00507EEC">
        <w:rPr>
          <w:sz w:val="28"/>
          <w:szCs w:val="28"/>
        </w:rPr>
        <w:t>,</w:t>
      </w:r>
      <w:r w:rsidRPr="00507EEC">
        <w:rPr>
          <w:sz w:val="28"/>
          <w:szCs w:val="28"/>
        </w:rPr>
        <w:t xml:space="preserve"> преобладает над числом не удовлетворённых. Стоит отметить, что часть опрошенных затруднились оценить услуги финансовых организаций.</w:t>
      </w:r>
    </w:p>
    <w:p w:rsidR="00E52C8A" w:rsidRPr="00E52C8A" w:rsidRDefault="00E52C8A" w:rsidP="00E52C8A">
      <w:pPr>
        <w:ind w:firstLine="708"/>
        <w:jc w:val="both"/>
        <w:rPr>
          <w:sz w:val="28"/>
          <w:szCs w:val="28"/>
        </w:rPr>
      </w:pPr>
    </w:p>
    <w:p w:rsidR="00B26BAB" w:rsidRDefault="00B26BAB" w:rsidP="00E52C8A">
      <w:pPr>
        <w:jc w:val="center"/>
        <w:rPr>
          <w:b/>
          <w:sz w:val="28"/>
          <w:szCs w:val="28"/>
        </w:rPr>
      </w:pPr>
      <w:r w:rsidRPr="0072025F">
        <w:rPr>
          <w:b/>
          <w:sz w:val="28"/>
          <w:szCs w:val="28"/>
          <w:lang w:val="en-US"/>
        </w:rPr>
        <w:t>II</w:t>
      </w:r>
      <w:r w:rsidRPr="0072025F">
        <w:rPr>
          <w:b/>
          <w:sz w:val="28"/>
          <w:szCs w:val="28"/>
        </w:rPr>
        <w:t xml:space="preserve">. Анализ итогов опросов субъектов </w:t>
      </w:r>
      <w:r w:rsidR="008A7A3F">
        <w:rPr>
          <w:b/>
          <w:sz w:val="28"/>
          <w:szCs w:val="28"/>
        </w:rPr>
        <w:t xml:space="preserve">предпринимательской </w:t>
      </w:r>
      <w:r w:rsidRPr="0072025F">
        <w:rPr>
          <w:b/>
          <w:sz w:val="28"/>
          <w:szCs w:val="28"/>
        </w:rPr>
        <w:t>деятельности</w:t>
      </w:r>
      <w:r w:rsidR="00E52C8A">
        <w:rPr>
          <w:b/>
          <w:sz w:val="28"/>
          <w:szCs w:val="28"/>
        </w:rPr>
        <w:t>.</w:t>
      </w:r>
    </w:p>
    <w:p w:rsidR="00916698" w:rsidRPr="0072025F" w:rsidRDefault="00916698" w:rsidP="0072025F">
      <w:pPr>
        <w:jc w:val="center"/>
        <w:rPr>
          <w:b/>
          <w:sz w:val="28"/>
          <w:szCs w:val="28"/>
        </w:rPr>
      </w:pPr>
    </w:p>
    <w:p w:rsidR="00916698" w:rsidRPr="001B683F" w:rsidRDefault="00916698" w:rsidP="00916698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16698">
        <w:rPr>
          <w:b/>
          <w:sz w:val="28"/>
          <w:szCs w:val="28"/>
        </w:rPr>
        <w:t>Динамика количества опрошенных субъектов предпринимательской деятельности с учетом их сферы деятельности и вида производимой продукции в сравнении с прошлым годом.</w:t>
      </w:r>
    </w:p>
    <w:p w:rsidR="00E231D7" w:rsidRDefault="00385852" w:rsidP="00916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получения объективных данных</w:t>
      </w:r>
      <w:r w:rsidR="00DE043C">
        <w:rPr>
          <w:sz w:val="28"/>
          <w:szCs w:val="28"/>
        </w:rPr>
        <w:t xml:space="preserve">, характеризующих состояние делового климата, в том числе изучения мнения предпринимателей малого и среднего бизнеса о состоянии конкуренции на товарных рынках </w:t>
      </w:r>
      <w:r w:rsidR="00560610">
        <w:rPr>
          <w:sz w:val="28"/>
          <w:szCs w:val="28"/>
        </w:rPr>
        <w:t>Нефтекумского</w:t>
      </w:r>
      <w:r w:rsidR="00DE043C">
        <w:rPr>
          <w:sz w:val="28"/>
          <w:szCs w:val="28"/>
        </w:rPr>
        <w:t xml:space="preserve"> </w:t>
      </w:r>
      <w:r w:rsidR="000B4896">
        <w:rPr>
          <w:sz w:val="28"/>
          <w:szCs w:val="28"/>
        </w:rPr>
        <w:t>муниципального</w:t>
      </w:r>
      <w:r w:rsidR="00DE043C">
        <w:rPr>
          <w:sz w:val="28"/>
          <w:szCs w:val="28"/>
        </w:rPr>
        <w:t xml:space="preserve"> округа Ставропольского</w:t>
      </w:r>
      <w:r w:rsidR="00762936">
        <w:rPr>
          <w:sz w:val="28"/>
          <w:szCs w:val="28"/>
        </w:rPr>
        <w:t xml:space="preserve"> края,</w:t>
      </w:r>
      <w:r w:rsidR="00E65C77">
        <w:rPr>
          <w:sz w:val="28"/>
          <w:szCs w:val="28"/>
        </w:rPr>
        <w:t xml:space="preserve"> </w:t>
      </w:r>
      <w:r w:rsidR="00AB2B90">
        <w:rPr>
          <w:sz w:val="28"/>
          <w:szCs w:val="28"/>
        </w:rPr>
        <w:t xml:space="preserve">в ходе проведения опроса был охвачен широкий спектр </w:t>
      </w:r>
      <w:r w:rsidR="00762936">
        <w:rPr>
          <w:sz w:val="28"/>
          <w:szCs w:val="28"/>
        </w:rPr>
        <w:t xml:space="preserve">товарных </w:t>
      </w:r>
      <w:r w:rsidR="00AB2B90">
        <w:rPr>
          <w:sz w:val="28"/>
          <w:szCs w:val="28"/>
        </w:rPr>
        <w:t xml:space="preserve">рынков. </w:t>
      </w:r>
    </w:p>
    <w:p w:rsidR="00CA605A" w:rsidRDefault="00AB2B90" w:rsidP="00CA60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опросе приняли</w:t>
      </w:r>
      <w:r w:rsidR="00D24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</w:t>
      </w:r>
      <w:r w:rsidR="00D86431">
        <w:rPr>
          <w:sz w:val="28"/>
          <w:szCs w:val="28"/>
        </w:rPr>
        <w:t>56</w:t>
      </w:r>
      <w:r w:rsidR="00E231D7">
        <w:rPr>
          <w:sz w:val="28"/>
          <w:szCs w:val="28"/>
        </w:rPr>
        <w:t xml:space="preserve"> субъектов </w:t>
      </w:r>
      <w:r w:rsidR="00D24152">
        <w:rPr>
          <w:sz w:val="28"/>
          <w:szCs w:val="28"/>
        </w:rPr>
        <w:t>малого и среднего предпринимательства</w:t>
      </w:r>
      <w:r w:rsidR="00621579">
        <w:rPr>
          <w:sz w:val="28"/>
          <w:szCs w:val="28"/>
        </w:rPr>
        <w:t xml:space="preserve"> (далее </w:t>
      </w:r>
      <w:r w:rsidR="00BB0451">
        <w:rPr>
          <w:sz w:val="28"/>
          <w:szCs w:val="28"/>
        </w:rPr>
        <w:t>-</w:t>
      </w:r>
      <w:r w:rsidR="00621579">
        <w:rPr>
          <w:sz w:val="28"/>
          <w:szCs w:val="28"/>
        </w:rPr>
        <w:t xml:space="preserve"> субъекты МСП)</w:t>
      </w:r>
      <w:r w:rsidR="00762936">
        <w:rPr>
          <w:sz w:val="28"/>
          <w:szCs w:val="28"/>
        </w:rPr>
        <w:t>,</w:t>
      </w:r>
      <w:r w:rsidR="00E231D7">
        <w:rPr>
          <w:sz w:val="28"/>
          <w:szCs w:val="28"/>
        </w:rPr>
        <w:t xml:space="preserve"> </w:t>
      </w:r>
      <w:r w:rsidR="000D336A">
        <w:rPr>
          <w:sz w:val="28"/>
          <w:szCs w:val="28"/>
        </w:rPr>
        <w:t>осуществляющие</w:t>
      </w:r>
      <w:r w:rsidR="008A2758">
        <w:rPr>
          <w:sz w:val="28"/>
          <w:szCs w:val="28"/>
        </w:rPr>
        <w:t xml:space="preserve"> свою</w:t>
      </w:r>
      <w:r w:rsidR="000D336A">
        <w:rPr>
          <w:sz w:val="28"/>
          <w:szCs w:val="28"/>
        </w:rPr>
        <w:t xml:space="preserve"> деятельность на территории </w:t>
      </w:r>
      <w:r w:rsidR="00560610">
        <w:rPr>
          <w:sz w:val="28"/>
          <w:szCs w:val="28"/>
        </w:rPr>
        <w:t>Нефтекумского</w:t>
      </w:r>
      <w:r w:rsidR="000D336A">
        <w:rPr>
          <w:sz w:val="28"/>
          <w:szCs w:val="28"/>
        </w:rPr>
        <w:t xml:space="preserve"> </w:t>
      </w:r>
      <w:r w:rsidR="000B4896">
        <w:rPr>
          <w:sz w:val="28"/>
          <w:szCs w:val="28"/>
        </w:rPr>
        <w:t>муниципального</w:t>
      </w:r>
      <w:r w:rsidR="000D336A">
        <w:rPr>
          <w:sz w:val="28"/>
          <w:szCs w:val="28"/>
        </w:rPr>
        <w:t xml:space="preserve"> округа </w:t>
      </w:r>
      <w:r w:rsidR="000D336A">
        <w:rPr>
          <w:sz w:val="28"/>
          <w:szCs w:val="28"/>
        </w:rPr>
        <w:lastRenderedPageBreak/>
        <w:t xml:space="preserve">Ставропольского края, </w:t>
      </w:r>
      <w:r w:rsidR="00E231D7">
        <w:rPr>
          <w:sz w:val="28"/>
          <w:szCs w:val="28"/>
        </w:rPr>
        <w:t xml:space="preserve">представляющие </w:t>
      </w:r>
      <w:r w:rsidR="00D24152">
        <w:rPr>
          <w:sz w:val="28"/>
          <w:szCs w:val="28"/>
        </w:rPr>
        <w:t xml:space="preserve"> </w:t>
      </w:r>
      <w:r w:rsidR="00D86431">
        <w:rPr>
          <w:sz w:val="28"/>
          <w:szCs w:val="28"/>
        </w:rPr>
        <w:t>21</w:t>
      </w:r>
      <w:r w:rsidR="00D24152">
        <w:rPr>
          <w:sz w:val="28"/>
          <w:szCs w:val="28"/>
        </w:rPr>
        <w:t xml:space="preserve"> </w:t>
      </w:r>
      <w:r w:rsidR="00D86431">
        <w:rPr>
          <w:sz w:val="28"/>
          <w:szCs w:val="28"/>
        </w:rPr>
        <w:t>товарный рынок</w:t>
      </w:r>
      <w:r w:rsidR="00A6328B">
        <w:rPr>
          <w:sz w:val="28"/>
          <w:szCs w:val="28"/>
        </w:rPr>
        <w:t>, в то время как в 202</w:t>
      </w:r>
      <w:r w:rsidR="00D86431">
        <w:rPr>
          <w:sz w:val="28"/>
          <w:szCs w:val="28"/>
        </w:rPr>
        <w:t>2</w:t>
      </w:r>
      <w:r w:rsidR="00E231D7">
        <w:rPr>
          <w:sz w:val="28"/>
          <w:szCs w:val="28"/>
        </w:rPr>
        <w:t xml:space="preserve"> году </w:t>
      </w:r>
      <w:r w:rsidR="008A2758">
        <w:rPr>
          <w:sz w:val="28"/>
          <w:szCs w:val="28"/>
        </w:rPr>
        <w:t xml:space="preserve">было </w:t>
      </w:r>
      <w:r w:rsidR="00D86431">
        <w:rPr>
          <w:sz w:val="28"/>
          <w:szCs w:val="28"/>
        </w:rPr>
        <w:t>48</w:t>
      </w:r>
      <w:r w:rsidR="008A2758">
        <w:rPr>
          <w:sz w:val="28"/>
          <w:szCs w:val="28"/>
        </w:rPr>
        <w:t xml:space="preserve"> субъектов</w:t>
      </w:r>
      <w:r w:rsidR="00E231D7">
        <w:rPr>
          <w:sz w:val="28"/>
          <w:szCs w:val="28"/>
        </w:rPr>
        <w:t xml:space="preserve"> пред</w:t>
      </w:r>
      <w:r w:rsidR="008A2758">
        <w:rPr>
          <w:sz w:val="28"/>
          <w:szCs w:val="28"/>
        </w:rPr>
        <w:t>ставляющих</w:t>
      </w:r>
      <w:r w:rsidR="00CE4F0B">
        <w:rPr>
          <w:sz w:val="28"/>
          <w:szCs w:val="28"/>
        </w:rPr>
        <w:t xml:space="preserve"> </w:t>
      </w:r>
      <w:r w:rsidR="00D86431">
        <w:rPr>
          <w:sz w:val="28"/>
          <w:szCs w:val="28"/>
        </w:rPr>
        <w:t>20</w:t>
      </w:r>
      <w:r w:rsidR="00D24152">
        <w:rPr>
          <w:sz w:val="28"/>
          <w:szCs w:val="28"/>
        </w:rPr>
        <w:t xml:space="preserve"> </w:t>
      </w:r>
      <w:r w:rsidR="00762936">
        <w:rPr>
          <w:sz w:val="28"/>
          <w:szCs w:val="28"/>
        </w:rPr>
        <w:t xml:space="preserve">товарных </w:t>
      </w:r>
      <w:r w:rsidR="00D86431">
        <w:rPr>
          <w:sz w:val="28"/>
          <w:szCs w:val="28"/>
        </w:rPr>
        <w:t>рынков</w:t>
      </w:r>
      <w:r w:rsidR="00762936">
        <w:rPr>
          <w:sz w:val="28"/>
          <w:szCs w:val="28"/>
        </w:rPr>
        <w:t>.</w:t>
      </w:r>
      <w:r w:rsidR="00CA605A" w:rsidRPr="00CA605A">
        <w:rPr>
          <w:sz w:val="28"/>
          <w:szCs w:val="28"/>
        </w:rPr>
        <w:t xml:space="preserve"> </w:t>
      </w:r>
      <w:r w:rsidR="00CA605A" w:rsidRPr="009B3490">
        <w:rPr>
          <w:sz w:val="28"/>
          <w:szCs w:val="28"/>
        </w:rPr>
        <w:t xml:space="preserve">При этом </w:t>
      </w:r>
      <w:r w:rsidR="002749FB">
        <w:rPr>
          <w:sz w:val="28"/>
          <w:szCs w:val="28"/>
        </w:rPr>
        <w:t>большинство</w:t>
      </w:r>
      <w:r w:rsidR="00CA605A" w:rsidRPr="009B3490">
        <w:rPr>
          <w:sz w:val="28"/>
          <w:szCs w:val="28"/>
        </w:rPr>
        <w:t xml:space="preserve"> респондентов отметили, что представляемые ими субъекты предпринимательской деятельности имеют организационно-правовую форму индивидуального предпринимателя</w:t>
      </w:r>
      <w:r w:rsidR="00CA605A">
        <w:rPr>
          <w:sz w:val="28"/>
          <w:szCs w:val="28"/>
        </w:rPr>
        <w:t>.</w:t>
      </w:r>
    </w:p>
    <w:p w:rsidR="00CA605A" w:rsidRPr="009B3490" w:rsidRDefault="00CA605A" w:rsidP="00CA605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Рисунок 46.</w:t>
      </w:r>
    </w:p>
    <w:p w:rsidR="00CA605A" w:rsidRDefault="00CA605A" w:rsidP="00BB0451">
      <w:pPr>
        <w:ind w:firstLine="720"/>
        <w:jc w:val="center"/>
      </w:pPr>
      <w:r>
        <w:t xml:space="preserve">Распределение субъектов предпринимательской деятельности по организационно-правовой форме, % к </w:t>
      </w:r>
      <w:proofErr w:type="gramStart"/>
      <w:r>
        <w:t>опрошенным</w:t>
      </w:r>
      <w:proofErr w:type="gramEnd"/>
      <w:r>
        <w:t>.</w:t>
      </w:r>
    </w:p>
    <w:p w:rsidR="0058221B" w:rsidRDefault="0058221B" w:rsidP="00CA605A">
      <w:pPr>
        <w:ind w:firstLine="720"/>
        <w:jc w:val="both"/>
      </w:pPr>
    </w:p>
    <w:p w:rsidR="00CA605A" w:rsidRPr="00B50DD8" w:rsidRDefault="00CA605A" w:rsidP="00B50DD8">
      <w:pPr>
        <w:jc w:val="both"/>
      </w:pPr>
      <w:r w:rsidRPr="00CA605A">
        <w:rPr>
          <w:noProof/>
        </w:rPr>
        <w:drawing>
          <wp:inline distT="0" distB="0" distL="0" distR="0">
            <wp:extent cx="6134100" cy="2209800"/>
            <wp:effectExtent l="0" t="0" r="0" b="0"/>
            <wp:docPr id="5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5B56CE" w:rsidRPr="00F25096" w:rsidRDefault="00F652D2" w:rsidP="005B56C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="005B56CE" w:rsidRPr="00F25096">
        <w:rPr>
          <w:color w:val="000000"/>
          <w:sz w:val="28"/>
          <w:szCs w:val="28"/>
        </w:rPr>
        <w:t xml:space="preserve">ольшая часть субъектов предпринимательской деятельности, представители которых были опрошены, действуют на рынке </w:t>
      </w:r>
      <w:r w:rsidR="005B56CE">
        <w:rPr>
          <w:color w:val="000000"/>
          <w:sz w:val="28"/>
          <w:szCs w:val="28"/>
        </w:rPr>
        <w:t xml:space="preserve">от 1 года до </w:t>
      </w:r>
      <w:r w:rsidR="005B56CE" w:rsidRPr="00F25096">
        <w:rPr>
          <w:color w:val="000000"/>
          <w:sz w:val="28"/>
          <w:szCs w:val="28"/>
        </w:rPr>
        <w:t xml:space="preserve">5 лет </w:t>
      </w:r>
      <w:r w:rsidR="00A6328B">
        <w:rPr>
          <w:color w:val="000000"/>
          <w:sz w:val="28"/>
          <w:szCs w:val="28"/>
        </w:rPr>
        <w:t>–</w:t>
      </w:r>
      <w:r w:rsidR="005B56CE" w:rsidRPr="00F25096">
        <w:rPr>
          <w:color w:val="000000"/>
          <w:sz w:val="28"/>
          <w:szCs w:val="28"/>
        </w:rPr>
        <w:t xml:space="preserve"> </w:t>
      </w:r>
      <w:r w:rsidR="00D86431">
        <w:rPr>
          <w:color w:val="000000"/>
          <w:sz w:val="28"/>
          <w:szCs w:val="28"/>
        </w:rPr>
        <w:t>53,5</w:t>
      </w:r>
      <w:r>
        <w:rPr>
          <w:color w:val="000000"/>
          <w:sz w:val="28"/>
          <w:szCs w:val="28"/>
        </w:rPr>
        <w:t xml:space="preserve"> </w:t>
      </w:r>
      <w:r w:rsidR="005B56CE" w:rsidRPr="00F25096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 </w:t>
      </w:r>
      <w:r w:rsidR="00A6328B">
        <w:rPr>
          <w:sz w:val="28"/>
          <w:szCs w:val="28"/>
        </w:rPr>
        <w:t>(в 202</w:t>
      </w:r>
      <w:r w:rsidR="00D86431">
        <w:rPr>
          <w:sz w:val="28"/>
          <w:szCs w:val="28"/>
        </w:rPr>
        <w:t>2</w:t>
      </w:r>
      <w:r w:rsidR="005B56CE" w:rsidRPr="00F25096">
        <w:rPr>
          <w:sz w:val="28"/>
          <w:szCs w:val="28"/>
        </w:rPr>
        <w:t xml:space="preserve"> году </w:t>
      </w:r>
      <w:r w:rsidR="00A6328B">
        <w:rPr>
          <w:sz w:val="28"/>
          <w:szCs w:val="28"/>
        </w:rPr>
        <w:t>–</w:t>
      </w:r>
      <w:r w:rsidR="00BB0451">
        <w:rPr>
          <w:sz w:val="28"/>
          <w:szCs w:val="28"/>
        </w:rPr>
        <w:t xml:space="preserve"> </w:t>
      </w:r>
      <w:r w:rsidR="00D86431">
        <w:rPr>
          <w:sz w:val="28"/>
          <w:szCs w:val="28"/>
        </w:rPr>
        <w:t>52,1</w:t>
      </w:r>
      <w:r>
        <w:rPr>
          <w:sz w:val="28"/>
          <w:szCs w:val="28"/>
        </w:rPr>
        <w:t xml:space="preserve"> </w:t>
      </w:r>
      <w:r w:rsidR="005B56CE" w:rsidRPr="00F25096">
        <w:rPr>
          <w:sz w:val="28"/>
          <w:szCs w:val="28"/>
        </w:rPr>
        <w:t>%)</w:t>
      </w:r>
      <w:r w:rsidR="00A6328B">
        <w:rPr>
          <w:color w:val="000000"/>
          <w:sz w:val="28"/>
          <w:szCs w:val="28"/>
        </w:rPr>
        <w:t xml:space="preserve">,  </w:t>
      </w:r>
      <w:r w:rsidR="00D86431">
        <w:rPr>
          <w:color w:val="000000"/>
          <w:sz w:val="28"/>
          <w:szCs w:val="28"/>
        </w:rPr>
        <w:t>17,8</w:t>
      </w:r>
      <w:r>
        <w:rPr>
          <w:color w:val="000000"/>
          <w:sz w:val="28"/>
          <w:szCs w:val="28"/>
        </w:rPr>
        <w:t xml:space="preserve"> </w:t>
      </w:r>
      <w:r w:rsidR="005B56CE" w:rsidRPr="00F25096">
        <w:rPr>
          <w:color w:val="000000"/>
          <w:sz w:val="28"/>
          <w:szCs w:val="28"/>
        </w:rPr>
        <w:t xml:space="preserve">% предприятий и организаций осуществляют </w:t>
      </w:r>
      <w:r>
        <w:rPr>
          <w:color w:val="000000"/>
          <w:sz w:val="28"/>
          <w:szCs w:val="28"/>
        </w:rPr>
        <w:t xml:space="preserve">свою </w:t>
      </w:r>
      <w:r w:rsidR="005B56CE" w:rsidRPr="00F25096">
        <w:rPr>
          <w:color w:val="000000"/>
          <w:sz w:val="28"/>
          <w:szCs w:val="28"/>
        </w:rPr>
        <w:t xml:space="preserve">деятельность </w:t>
      </w:r>
      <w:r w:rsidR="005B56CE">
        <w:rPr>
          <w:color w:val="000000"/>
          <w:sz w:val="28"/>
          <w:szCs w:val="28"/>
        </w:rPr>
        <w:t>более</w:t>
      </w:r>
      <w:r w:rsidR="005B56CE" w:rsidRPr="00F25096">
        <w:rPr>
          <w:color w:val="000000"/>
          <w:sz w:val="28"/>
          <w:szCs w:val="28"/>
        </w:rPr>
        <w:t xml:space="preserve"> 5 ле</w:t>
      </w:r>
      <w:r w:rsidR="00A6328B">
        <w:rPr>
          <w:color w:val="000000"/>
          <w:sz w:val="28"/>
          <w:szCs w:val="28"/>
        </w:rPr>
        <w:t xml:space="preserve">т и </w:t>
      </w:r>
      <w:r w:rsidR="00D86431">
        <w:rPr>
          <w:color w:val="000000"/>
          <w:sz w:val="28"/>
          <w:szCs w:val="28"/>
        </w:rPr>
        <w:t>28,6</w:t>
      </w:r>
      <w:r>
        <w:rPr>
          <w:color w:val="000000"/>
          <w:sz w:val="28"/>
          <w:szCs w:val="28"/>
        </w:rPr>
        <w:t xml:space="preserve"> </w:t>
      </w:r>
      <w:r w:rsidR="005B56CE" w:rsidRPr="00F25096">
        <w:rPr>
          <w:color w:val="000000"/>
          <w:sz w:val="28"/>
          <w:szCs w:val="28"/>
        </w:rPr>
        <w:t xml:space="preserve">% пришлось на предпринимателей осуществляющих свою деятельность менее </w:t>
      </w:r>
      <w:r w:rsidR="005B56CE">
        <w:rPr>
          <w:color w:val="000000"/>
          <w:sz w:val="28"/>
          <w:szCs w:val="28"/>
        </w:rPr>
        <w:t>1 года</w:t>
      </w:r>
      <w:r w:rsidR="005B56CE" w:rsidRPr="00F25096">
        <w:rPr>
          <w:color w:val="000000"/>
          <w:sz w:val="28"/>
          <w:szCs w:val="28"/>
        </w:rPr>
        <w:t xml:space="preserve">. </w:t>
      </w:r>
    </w:p>
    <w:p w:rsidR="005B56CE" w:rsidRDefault="00D86431" w:rsidP="005B56C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Большинство</w:t>
      </w:r>
      <w:r w:rsidR="005B56CE">
        <w:rPr>
          <w:sz w:val="28"/>
          <w:szCs w:val="28"/>
        </w:rPr>
        <w:t xml:space="preserve"> </w:t>
      </w:r>
      <w:proofErr w:type="gramStart"/>
      <w:r w:rsidR="005B56CE">
        <w:rPr>
          <w:sz w:val="28"/>
          <w:szCs w:val="28"/>
        </w:rPr>
        <w:t>принявших</w:t>
      </w:r>
      <w:proofErr w:type="gramEnd"/>
      <w:r w:rsidR="005B56CE">
        <w:rPr>
          <w:sz w:val="28"/>
          <w:szCs w:val="28"/>
        </w:rPr>
        <w:t xml:space="preserve"> участие в опросе </w:t>
      </w:r>
      <w:r>
        <w:rPr>
          <w:sz w:val="28"/>
          <w:szCs w:val="28"/>
        </w:rPr>
        <w:t>39,2</w:t>
      </w:r>
      <w:r w:rsidR="00F652D2">
        <w:rPr>
          <w:sz w:val="28"/>
          <w:szCs w:val="28"/>
        </w:rPr>
        <w:t xml:space="preserve"> </w:t>
      </w:r>
      <w:r w:rsidR="005B56CE">
        <w:rPr>
          <w:sz w:val="28"/>
          <w:szCs w:val="28"/>
        </w:rPr>
        <w:t>%</w:t>
      </w:r>
      <w:r w:rsidR="005B56CE" w:rsidRPr="00F25096">
        <w:rPr>
          <w:sz w:val="28"/>
          <w:szCs w:val="28"/>
        </w:rPr>
        <w:t xml:space="preserve"> являются </w:t>
      </w:r>
      <w:r w:rsidR="005B56CE">
        <w:rPr>
          <w:sz w:val="28"/>
          <w:szCs w:val="28"/>
        </w:rPr>
        <w:t>собственниками бизнеса</w:t>
      </w:r>
      <w:r w:rsidR="00A6328B">
        <w:rPr>
          <w:sz w:val="28"/>
          <w:szCs w:val="28"/>
        </w:rPr>
        <w:t xml:space="preserve"> (в 202</w:t>
      </w:r>
      <w:r>
        <w:rPr>
          <w:sz w:val="28"/>
          <w:szCs w:val="28"/>
        </w:rPr>
        <w:t>2</w:t>
      </w:r>
      <w:r w:rsidR="00BB0451">
        <w:rPr>
          <w:sz w:val="28"/>
          <w:szCs w:val="28"/>
        </w:rPr>
        <w:t xml:space="preserve"> году </w:t>
      </w:r>
      <w:r w:rsidR="00A6328B">
        <w:rPr>
          <w:sz w:val="28"/>
          <w:szCs w:val="28"/>
        </w:rPr>
        <w:t>–</w:t>
      </w:r>
      <w:r w:rsidR="005B56CE" w:rsidRPr="00F25096">
        <w:rPr>
          <w:sz w:val="28"/>
          <w:szCs w:val="28"/>
        </w:rPr>
        <w:t xml:space="preserve"> </w:t>
      </w:r>
      <w:r>
        <w:rPr>
          <w:sz w:val="28"/>
          <w:szCs w:val="28"/>
        </w:rPr>
        <w:t>60,4</w:t>
      </w:r>
      <w:r w:rsidR="00F652D2">
        <w:rPr>
          <w:sz w:val="28"/>
          <w:szCs w:val="28"/>
        </w:rPr>
        <w:t xml:space="preserve"> </w:t>
      </w:r>
      <w:r w:rsidR="005B56CE">
        <w:rPr>
          <w:sz w:val="28"/>
          <w:szCs w:val="28"/>
        </w:rPr>
        <w:t>%)</w:t>
      </w:r>
      <w:r w:rsidR="00F652D2">
        <w:rPr>
          <w:sz w:val="28"/>
          <w:szCs w:val="28"/>
        </w:rPr>
        <w:t>,</w:t>
      </w:r>
      <w:r w:rsidR="005B56CE" w:rsidRPr="00F25096">
        <w:rPr>
          <w:sz w:val="28"/>
          <w:szCs w:val="28"/>
        </w:rPr>
        <w:t xml:space="preserve"> </w:t>
      </w:r>
      <w:r>
        <w:rPr>
          <w:sz w:val="28"/>
          <w:szCs w:val="28"/>
        </w:rPr>
        <w:t>12,5</w:t>
      </w:r>
      <w:r w:rsidR="00F652D2">
        <w:rPr>
          <w:sz w:val="28"/>
          <w:szCs w:val="28"/>
        </w:rPr>
        <w:t xml:space="preserve"> </w:t>
      </w:r>
      <w:r w:rsidR="0041692E">
        <w:rPr>
          <w:sz w:val="28"/>
          <w:szCs w:val="28"/>
        </w:rPr>
        <w:t>% руководители высшего и</w:t>
      </w:r>
      <w:r w:rsidR="005B56CE">
        <w:rPr>
          <w:sz w:val="28"/>
          <w:szCs w:val="28"/>
        </w:rPr>
        <w:t xml:space="preserve"> среднего звена </w:t>
      </w:r>
      <w:r w:rsidR="00F652D2">
        <w:rPr>
          <w:sz w:val="28"/>
          <w:szCs w:val="28"/>
        </w:rPr>
        <w:t>(в 202</w:t>
      </w:r>
      <w:r>
        <w:rPr>
          <w:sz w:val="28"/>
          <w:szCs w:val="28"/>
        </w:rPr>
        <w:t>2</w:t>
      </w:r>
      <w:r w:rsidR="005B56CE">
        <w:rPr>
          <w:sz w:val="28"/>
          <w:szCs w:val="28"/>
        </w:rPr>
        <w:t xml:space="preserve"> го</w:t>
      </w:r>
      <w:r w:rsidR="00F652D2">
        <w:rPr>
          <w:sz w:val="28"/>
          <w:szCs w:val="28"/>
        </w:rPr>
        <w:t xml:space="preserve">ду </w:t>
      </w:r>
      <w:r w:rsidR="00A6328B">
        <w:rPr>
          <w:sz w:val="28"/>
          <w:szCs w:val="28"/>
        </w:rPr>
        <w:t>–</w:t>
      </w:r>
      <w:r w:rsidR="00BB0451">
        <w:rPr>
          <w:sz w:val="28"/>
          <w:szCs w:val="28"/>
        </w:rPr>
        <w:t xml:space="preserve"> </w:t>
      </w:r>
      <w:r>
        <w:rPr>
          <w:sz w:val="28"/>
          <w:szCs w:val="28"/>
        </w:rPr>
        <w:t>8,4</w:t>
      </w:r>
      <w:r w:rsidR="00F652D2">
        <w:rPr>
          <w:sz w:val="28"/>
          <w:szCs w:val="28"/>
        </w:rPr>
        <w:t xml:space="preserve"> </w:t>
      </w:r>
      <w:r w:rsidR="005B56CE">
        <w:rPr>
          <w:sz w:val="28"/>
          <w:szCs w:val="28"/>
        </w:rPr>
        <w:t>%)</w:t>
      </w:r>
      <w:r w:rsidR="00BB0451">
        <w:rPr>
          <w:sz w:val="28"/>
          <w:szCs w:val="28"/>
        </w:rPr>
        <w:t>,</w:t>
      </w:r>
      <w:r w:rsidR="005B56CE" w:rsidRPr="00A208C8">
        <w:rPr>
          <w:sz w:val="28"/>
          <w:szCs w:val="28"/>
        </w:rPr>
        <w:t xml:space="preserve"> </w:t>
      </w:r>
      <w:r w:rsidR="00F652D2">
        <w:rPr>
          <w:sz w:val="28"/>
          <w:szCs w:val="28"/>
        </w:rPr>
        <w:t>не руководящие</w:t>
      </w:r>
      <w:r w:rsidR="005B56CE">
        <w:rPr>
          <w:sz w:val="28"/>
          <w:szCs w:val="28"/>
        </w:rPr>
        <w:t xml:space="preserve"> сотрудник</w:t>
      </w:r>
      <w:r w:rsidR="00F652D2">
        <w:rPr>
          <w:sz w:val="28"/>
          <w:szCs w:val="28"/>
        </w:rPr>
        <w:t>и</w:t>
      </w:r>
      <w:r w:rsidR="005B56CE">
        <w:rPr>
          <w:sz w:val="28"/>
          <w:szCs w:val="28"/>
        </w:rPr>
        <w:t xml:space="preserve"> </w:t>
      </w:r>
      <w:r>
        <w:rPr>
          <w:sz w:val="28"/>
          <w:szCs w:val="28"/>
        </w:rPr>
        <w:t>48,2</w:t>
      </w:r>
      <w:r w:rsidR="0041692E">
        <w:rPr>
          <w:sz w:val="28"/>
          <w:szCs w:val="28"/>
        </w:rPr>
        <w:t xml:space="preserve"> % (в 202</w:t>
      </w:r>
      <w:r>
        <w:rPr>
          <w:sz w:val="28"/>
          <w:szCs w:val="28"/>
        </w:rPr>
        <w:t>2</w:t>
      </w:r>
      <w:r w:rsidR="0041692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31,2</w:t>
      </w:r>
      <w:r w:rsidR="0041692E">
        <w:rPr>
          <w:sz w:val="28"/>
          <w:szCs w:val="28"/>
        </w:rPr>
        <w:t xml:space="preserve"> </w:t>
      </w:r>
      <w:r w:rsidR="005B56CE">
        <w:rPr>
          <w:sz w:val="28"/>
          <w:szCs w:val="28"/>
        </w:rPr>
        <w:t>%).</w:t>
      </w:r>
    </w:p>
    <w:p w:rsidR="00F652D2" w:rsidRPr="00222224" w:rsidRDefault="00F652D2" w:rsidP="00F652D2">
      <w:pPr>
        <w:ind w:firstLine="720"/>
        <w:jc w:val="both"/>
        <w:rPr>
          <w:sz w:val="28"/>
          <w:szCs w:val="28"/>
        </w:rPr>
      </w:pPr>
      <w:r w:rsidRPr="00222224">
        <w:rPr>
          <w:sz w:val="28"/>
          <w:szCs w:val="28"/>
        </w:rPr>
        <w:t>Таким образом, в опросе приняли участие преимущественно владельцы</w:t>
      </w:r>
      <w:r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>и руководители организаций, имеющих существенный опыт осуществления</w:t>
      </w:r>
      <w:r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>предпринимательской деятельности и способных объективно оценивать</w:t>
      </w:r>
      <w:r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>рыночную и конкурентную среду ведения бизнеса.</w:t>
      </w:r>
    </w:p>
    <w:p w:rsidR="00F652D2" w:rsidRDefault="00F652D2" w:rsidP="00DB49EE">
      <w:pPr>
        <w:ind w:firstLine="720"/>
        <w:jc w:val="both"/>
        <w:rPr>
          <w:sz w:val="28"/>
          <w:szCs w:val="28"/>
        </w:rPr>
      </w:pPr>
      <w:proofErr w:type="gramStart"/>
      <w:r w:rsidRPr="00222224">
        <w:rPr>
          <w:sz w:val="28"/>
          <w:szCs w:val="28"/>
        </w:rPr>
        <w:t xml:space="preserve">Если говорить о размере бизнеса, то в целом </w:t>
      </w:r>
      <w:r w:rsidR="0041692E">
        <w:rPr>
          <w:sz w:val="28"/>
          <w:szCs w:val="28"/>
        </w:rPr>
        <w:t>83,</w:t>
      </w:r>
      <w:r w:rsidR="00DB49E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>% опрошенных</w:t>
      </w:r>
      <w:r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>заявили, что численность сотрудников их организаций составляет не более 15</w:t>
      </w:r>
      <w:r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(в 2</w:t>
      </w:r>
      <w:r w:rsidR="0041692E">
        <w:rPr>
          <w:sz w:val="28"/>
          <w:szCs w:val="28"/>
        </w:rPr>
        <w:t>02</w:t>
      </w:r>
      <w:r w:rsidR="00DB49EE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BB0451">
        <w:rPr>
          <w:sz w:val="28"/>
          <w:szCs w:val="28"/>
        </w:rPr>
        <w:t xml:space="preserve"> </w:t>
      </w:r>
      <w:r w:rsidR="0041692E">
        <w:rPr>
          <w:sz w:val="28"/>
          <w:szCs w:val="28"/>
        </w:rPr>
        <w:t xml:space="preserve">– </w:t>
      </w:r>
      <w:r w:rsidR="00DB49EE">
        <w:rPr>
          <w:sz w:val="28"/>
          <w:szCs w:val="28"/>
        </w:rPr>
        <w:t>83,3</w:t>
      </w:r>
      <w:r>
        <w:rPr>
          <w:sz w:val="28"/>
          <w:szCs w:val="28"/>
        </w:rPr>
        <w:t xml:space="preserve"> %)</w:t>
      </w:r>
      <w:r w:rsidR="000B6D2A">
        <w:rPr>
          <w:sz w:val="28"/>
          <w:szCs w:val="28"/>
        </w:rPr>
        <w:t>,</w:t>
      </w:r>
      <w:r w:rsidRPr="00222224">
        <w:rPr>
          <w:sz w:val="28"/>
          <w:szCs w:val="28"/>
        </w:rPr>
        <w:t xml:space="preserve"> </w:t>
      </w:r>
      <w:r w:rsidR="0041692E">
        <w:rPr>
          <w:sz w:val="28"/>
          <w:szCs w:val="28"/>
        </w:rPr>
        <w:t>10,</w:t>
      </w:r>
      <w:r w:rsidR="00DB49EE">
        <w:rPr>
          <w:sz w:val="28"/>
          <w:szCs w:val="28"/>
        </w:rPr>
        <w:t>7</w:t>
      </w:r>
      <w:r w:rsidR="000B6D2A"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 xml:space="preserve">% </w:t>
      </w:r>
      <w:r w:rsidR="0041692E">
        <w:rPr>
          <w:sz w:val="28"/>
          <w:szCs w:val="28"/>
        </w:rPr>
        <w:t>(в 202</w:t>
      </w:r>
      <w:r w:rsidR="00DB49EE">
        <w:rPr>
          <w:sz w:val="28"/>
          <w:szCs w:val="28"/>
        </w:rPr>
        <w:t>2</w:t>
      </w:r>
      <w:r w:rsidR="000B6D2A">
        <w:rPr>
          <w:sz w:val="28"/>
          <w:szCs w:val="28"/>
        </w:rPr>
        <w:t xml:space="preserve"> году </w:t>
      </w:r>
      <w:r w:rsidR="0041692E">
        <w:rPr>
          <w:sz w:val="28"/>
          <w:szCs w:val="28"/>
        </w:rPr>
        <w:t>–</w:t>
      </w:r>
      <w:r w:rsidR="00BB0451">
        <w:rPr>
          <w:sz w:val="28"/>
          <w:szCs w:val="28"/>
        </w:rPr>
        <w:t xml:space="preserve"> </w:t>
      </w:r>
      <w:r w:rsidR="0041692E">
        <w:rPr>
          <w:sz w:val="28"/>
          <w:szCs w:val="28"/>
        </w:rPr>
        <w:t>10,</w:t>
      </w:r>
      <w:r w:rsidR="00DB49EE">
        <w:rPr>
          <w:sz w:val="28"/>
          <w:szCs w:val="28"/>
        </w:rPr>
        <w:t>4</w:t>
      </w:r>
      <w:r w:rsidR="000B6D2A">
        <w:rPr>
          <w:sz w:val="28"/>
          <w:szCs w:val="28"/>
        </w:rPr>
        <w:t xml:space="preserve"> %)</w:t>
      </w:r>
      <w:r w:rsidR="00BB0451"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>пришлось на организации с численностью от 16 до 100</w:t>
      </w:r>
      <w:r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>человек</w:t>
      </w:r>
      <w:r w:rsidR="000B6D2A">
        <w:rPr>
          <w:sz w:val="28"/>
          <w:szCs w:val="28"/>
        </w:rPr>
        <w:t xml:space="preserve">, </w:t>
      </w:r>
      <w:r w:rsidRPr="00222224">
        <w:rPr>
          <w:sz w:val="28"/>
          <w:szCs w:val="28"/>
        </w:rPr>
        <w:t xml:space="preserve"> </w:t>
      </w:r>
      <w:r w:rsidR="00DB49EE">
        <w:rPr>
          <w:sz w:val="28"/>
          <w:szCs w:val="28"/>
        </w:rPr>
        <w:t>3,6</w:t>
      </w:r>
      <w:r w:rsidR="000B6D2A">
        <w:rPr>
          <w:sz w:val="28"/>
          <w:szCs w:val="28"/>
        </w:rPr>
        <w:t xml:space="preserve"> </w:t>
      </w:r>
      <w:r w:rsidRPr="00222224">
        <w:rPr>
          <w:sz w:val="28"/>
          <w:szCs w:val="28"/>
        </w:rPr>
        <w:t xml:space="preserve">% </w:t>
      </w:r>
      <w:r w:rsidR="00BB0451">
        <w:rPr>
          <w:sz w:val="28"/>
          <w:szCs w:val="28"/>
        </w:rPr>
        <w:t>-</w:t>
      </w:r>
      <w:r w:rsidRPr="00222224">
        <w:rPr>
          <w:sz w:val="28"/>
          <w:szCs w:val="28"/>
        </w:rPr>
        <w:t xml:space="preserve"> на предприятия с чис</w:t>
      </w:r>
      <w:r>
        <w:rPr>
          <w:sz w:val="28"/>
          <w:szCs w:val="28"/>
        </w:rPr>
        <w:t>ленностью от 101 до 250 человек (</w:t>
      </w:r>
      <w:r w:rsidR="0041692E">
        <w:rPr>
          <w:sz w:val="28"/>
          <w:szCs w:val="28"/>
        </w:rPr>
        <w:t>в 202</w:t>
      </w:r>
      <w:r w:rsidR="00DB49EE">
        <w:rPr>
          <w:sz w:val="28"/>
          <w:szCs w:val="28"/>
        </w:rPr>
        <w:t>2</w:t>
      </w:r>
      <w:r w:rsidR="000B6D2A">
        <w:rPr>
          <w:sz w:val="28"/>
          <w:szCs w:val="28"/>
        </w:rPr>
        <w:t xml:space="preserve"> году </w:t>
      </w:r>
      <w:r w:rsidR="0041692E">
        <w:rPr>
          <w:sz w:val="28"/>
          <w:szCs w:val="28"/>
        </w:rPr>
        <w:t xml:space="preserve">– </w:t>
      </w:r>
      <w:r w:rsidR="00DB49EE">
        <w:rPr>
          <w:sz w:val="28"/>
          <w:szCs w:val="28"/>
        </w:rPr>
        <w:t>4,2</w:t>
      </w:r>
      <w:r w:rsidR="000B6D2A">
        <w:rPr>
          <w:sz w:val="28"/>
          <w:szCs w:val="28"/>
        </w:rPr>
        <w:t xml:space="preserve"> </w:t>
      </w:r>
      <w:r w:rsidR="00DB49EE">
        <w:rPr>
          <w:sz w:val="28"/>
          <w:szCs w:val="28"/>
        </w:rPr>
        <w:t>%)</w:t>
      </w:r>
      <w:r>
        <w:rPr>
          <w:sz w:val="28"/>
          <w:szCs w:val="28"/>
        </w:rPr>
        <w:t>.</w:t>
      </w:r>
      <w:proofErr w:type="gramEnd"/>
    </w:p>
    <w:p w:rsidR="00F652D2" w:rsidRPr="00F652D2" w:rsidRDefault="00F652D2" w:rsidP="00F652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F08E3">
        <w:rPr>
          <w:color w:val="000000"/>
          <w:sz w:val="28"/>
          <w:szCs w:val="28"/>
        </w:rPr>
        <w:t>По величине годового оборота бизнеса ответы респондентов распределились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следующим образом: до 120 милли</w:t>
      </w:r>
      <w:r>
        <w:rPr>
          <w:color w:val="000000"/>
          <w:sz w:val="28"/>
          <w:szCs w:val="28"/>
        </w:rPr>
        <w:t>онов рублей (</w:t>
      </w:r>
      <w:proofErr w:type="spellStart"/>
      <w:r>
        <w:rPr>
          <w:color w:val="000000"/>
          <w:sz w:val="28"/>
          <w:szCs w:val="28"/>
        </w:rPr>
        <w:t>микропредприятие</w:t>
      </w:r>
      <w:proofErr w:type="spellEnd"/>
      <w:r>
        <w:rPr>
          <w:color w:val="000000"/>
          <w:sz w:val="28"/>
          <w:szCs w:val="28"/>
        </w:rPr>
        <w:t xml:space="preserve">) </w:t>
      </w:r>
      <w:r w:rsidR="00DB49EE">
        <w:rPr>
          <w:color w:val="000000"/>
          <w:sz w:val="28"/>
          <w:szCs w:val="28"/>
        </w:rPr>
        <w:t>82,1</w:t>
      </w:r>
      <w:r w:rsidR="000B6D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</w:t>
      </w:r>
      <w:r w:rsidR="000B6D2A">
        <w:rPr>
          <w:color w:val="000000"/>
          <w:sz w:val="28"/>
          <w:szCs w:val="28"/>
        </w:rPr>
        <w:t xml:space="preserve"> </w:t>
      </w:r>
      <w:r w:rsidR="0041692E">
        <w:rPr>
          <w:color w:val="000000"/>
          <w:sz w:val="28"/>
          <w:szCs w:val="28"/>
        </w:rPr>
        <w:t>(в 202</w:t>
      </w:r>
      <w:r w:rsidR="00DB49EE">
        <w:rPr>
          <w:color w:val="000000"/>
          <w:sz w:val="28"/>
          <w:szCs w:val="28"/>
        </w:rPr>
        <w:t>2</w:t>
      </w:r>
      <w:r w:rsidR="000B6D2A" w:rsidRPr="000B6D2A">
        <w:rPr>
          <w:color w:val="000000"/>
          <w:sz w:val="28"/>
          <w:szCs w:val="28"/>
        </w:rPr>
        <w:t xml:space="preserve"> году – </w:t>
      </w:r>
      <w:r w:rsidR="00DB49EE">
        <w:rPr>
          <w:color w:val="000000"/>
          <w:sz w:val="28"/>
          <w:szCs w:val="28"/>
        </w:rPr>
        <w:t>83,3</w:t>
      </w:r>
      <w:r w:rsidR="000B6D2A" w:rsidRPr="000B6D2A">
        <w:rPr>
          <w:color w:val="000000"/>
          <w:sz w:val="28"/>
          <w:szCs w:val="28"/>
        </w:rPr>
        <w:t xml:space="preserve"> %)</w:t>
      </w:r>
      <w:r w:rsidR="000B6D2A">
        <w:rPr>
          <w:color w:val="000000"/>
          <w:sz w:val="28"/>
          <w:szCs w:val="28"/>
        </w:rPr>
        <w:t>,</w:t>
      </w:r>
      <w:r w:rsidRPr="00EF08E3">
        <w:rPr>
          <w:color w:val="000000"/>
          <w:sz w:val="28"/>
          <w:szCs w:val="28"/>
        </w:rPr>
        <w:t xml:space="preserve"> от 120 до 800 миллионов рублей (малое предприятие) </w:t>
      </w:r>
      <w:r w:rsidR="00DB49EE">
        <w:rPr>
          <w:color w:val="000000"/>
          <w:sz w:val="28"/>
          <w:szCs w:val="28"/>
        </w:rPr>
        <w:t>12,5</w:t>
      </w:r>
      <w:r w:rsidR="000B6D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</w:t>
      </w:r>
      <w:r w:rsidR="000B6D2A">
        <w:rPr>
          <w:color w:val="000000"/>
          <w:sz w:val="28"/>
          <w:szCs w:val="28"/>
        </w:rPr>
        <w:t xml:space="preserve"> </w:t>
      </w:r>
      <w:r w:rsidR="0041692E">
        <w:rPr>
          <w:color w:val="000000"/>
          <w:sz w:val="28"/>
          <w:szCs w:val="28"/>
        </w:rPr>
        <w:t>(в 202</w:t>
      </w:r>
      <w:r w:rsidR="00DB49EE">
        <w:rPr>
          <w:color w:val="000000"/>
          <w:sz w:val="28"/>
          <w:szCs w:val="28"/>
        </w:rPr>
        <w:t>2</w:t>
      </w:r>
      <w:r w:rsidR="000B6D2A" w:rsidRPr="000B6D2A">
        <w:rPr>
          <w:color w:val="000000"/>
          <w:sz w:val="28"/>
          <w:szCs w:val="28"/>
        </w:rPr>
        <w:t xml:space="preserve"> году –</w:t>
      </w:r>
      <w:r w:rsidR="0041692E">
        <w:rPr>
          <w:color w:val="000000"/>
          <w:sz w:val="28"/>
          <w:szCs w:val="28"/>
        </w:rPr>
        <w:t xml:space="preserve"> </w:t>
      </w:r>
      <w:r w:rsidR="00DB49EE">
        <w:rPr>
          <w:color w:val="000000"/>
          <w:sz w:val="28"/>
          <w:szCs w:val="28"/>
        </w:rPr>
        <w:t>10,4</w:t>
      </w:r>
      <w:r w:rsidR="000B6D2A" w:rsidRPr="000B6D2A">
        <w:rPr>
          <w:color w:val="000000"/>
          <w:sz w:val="28"/>
          <w:szCs w:val="28"/>
        </w:rPr>
        <w:t xml:space="preserve"> %) </w:t>
      </w:r>
      <w:r w:rsidRPr="00EF08E3">
        <w:rPr>
          <w:color w:val="000000"/>
          <w:sz w:val="28"/>
          <w:szCs w:val="28"/>
        </w:rPr>
        <w:t xml:space="preserve"> от 800 до 2000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миллионов рублей (среднее предприятие)</w:t>
      </w:r>
      <w:r w:rsidR="000B6D2A">
        <w:rPr>
          <w:color w:val="000000"/>
          <w:sz w:val="28"/>
          <w:szCs w:val="28"/>
        </w:rPr>
        <w:t xml:space="preserve"> </w:t>
      </w:r>
      <w:r w:rsidR="00B13F9F">
        <w:rPr>
          <w:color w:val="000000"/>
          <w:sz w:val="28"/>
          <w:szCs w:val="28"/>
        </w:rPr>
        <w:t>3,6</w:t>
      </w:r>
      <w:r w:rsidR="000B6D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% </w:t>
      </w:r>
      <w:r w:rsidRPr="00EF08E3">
        <w:rPr>
          <w:color w:val="000000"/>
          <w:sz w:val="28"/>
          <w:szCs w:val="28"/>
        </w:rPr>
        <w:t xml:space="preserve">и свыше 2 миллиардов рублей </w:t>
      </w:r>
      <w:r w:rsidR="000B6D2A">
        <w:rPr>
          <w:color w:val="000000"/>
          <w:sz w:val="28"/>
          <w:szCs w:val="28"/>
        </w:rPr>
        <w:t>–</w:t>
      </w:r>
      <w:r w:rsidR="00BB0451">
        <w:rPr>
          <w:color w:val="000000"/>
          <w:sz w:val="28"/>
          <w:szCs w:val="28"/>
        </w:rPr>
        <w:t>-</w:t>
      </w:r>
      <w:r w:rsidR="0041692E">
        <w:rPr>
          <w:color w:val="000000"/>
          <w:sz w:val="28"/>
          <w:szCs w:val="28"/>
        </w:rPr>
        <w:t xml:space="preserve"> </w:t>
      </w:r>
      <w:r w:rsidR="00B13F9F">
        <w:rPr>
          <w:color w:val="000000"/>
          <w:sz w:val="28"/>
          <w:szCs w:val="28"/>
        </w:rPr>
        <w:t>1,8</w:t>
      </w:r>
      <w:r w:rsidR="000B6D2A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>.</w:t>
      </w:r>
      <w:r w:rsidRPr="00EF08E3">
        <w:rPr>
          <w:color w:val="000000"/>
          <w:sz w:val="28"/>
          <w:szCs w:val="28"/>
        </w:rPr>
        <w:t xml:space="preserve"> </w:t>
      </w:r>
      <w:r w:rsidR="000B6D2A">
        <w:rPr>
          <w:color w:val="000000"/>
          <w:sz w:val="28"/>
          <w:szCs w:val="28"/>
        </w:rPr>
        <w:t>Из чего м</w:t>
      </w:r>
      <w:r w:rsidRPr="00EF08E3">
        <w:rPr>
          <w:color w:val="000000"/>
          <w:sz w:val="28"/>
          <w:szCs w:val="28"/>
        </w:rPr>
        <w:t>ожно сделать вывод о том, что из всех субъектов предпринимательской</w:t>
      </w:r>
      <w:proofErr w:type="gramEnd"/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опросе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отчетного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года,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годом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ранее,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превалируют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F08E3">
        <w:rPr>
          <w:color w:val="000000"/>
          <w:sz w:val="28"/>
          <w:szCs w:val="28"/>
        </w:rPr>
        <w:t>микропредприятия</w:t>
      </w:r>
      <w:proofErr w:type="spellEnd"/>
      <w:r w:rsidRPr="00EF08E3">
        <w:rPr>
          <w:color w:val="000000"/>
          <w:sz w:val="28"/>
          <w:szCs w:val="28"/>
        </w:rPr>
        <w:t xml:space="preserve"> с численностью сотрудников до 15 человек и величиной</w:t>
      </w:r>
      <w:r>
        <w:rPr>
          <w:color w:val="000000"/>
          <w:sz w:val="28"/>
          <w:szCs w:val="28"/>
        </w:rPr>
        <w:t xml:space="preserve"> </w:t>
      </w:r>
      <w:r w:rsidRPr="00EF08E3">
        <w:rPr>
          <w:color w:val="000000"/>
          <w:sz w:val="28"/>
          <w:szCs w:val="28"/>
        </w:rPr>
        <w:t>годового оборота не более 120 млн. рублей.</w:t>
      </w:r>
      <w:r>
        <w:rPr>
          <w:color w:val="000000"/>
          <w:sz w:val="28"/>
          <w:szCs w:val="28"/>
        </w:rPr>
        <w:t xml:space="preserve"> </w:t>
      </w:r>
    </w:p>
    <w:p w:rsidR="00C10F5A" w:rsidRDefault="006C2F22" w:rsidP="00E2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C10F5A">
        <w:rPr>
          <w:sz w:val="28"/>
          <w:szCs w:val="28"/>
        </w:rPr>
        <w:t xml:space="preserve"> </w:t>
      </w:r>
      <w:r w:rsidR="00621579">
        <w:rPr>
          <w:sz w:val="28"/>
          <w:szCs w:val="28"/>
        </w:rPr>
        <w:t xml:space="preserve">большинства </w:t>
      </w:r>
      <w:r w:rsidR="00C10F5A">
        <w:rPr>
          <w:sz w:val="28"/>
          <w:szCs w:val="28"/>
        </w:rPr>
        <w:t xml:space="preserve">опрошенных субъектов </w:t>
      </w:r>
      <w:proofErr w:type="gramStart"/>
      <w:r w:rsidR="00C10F5A">
        <w:rPr>
          <w:sz w:val="28"/>
          <w:szCs w:val="28"/>
        </w:rPr>
        <w:t>МСП</w:t>
      </w:r>
      <w:proofErr w:type="gramEnd"/>
      <w:r w:rsidR="00C10F5A">
        <w:rPr>
          <w:sz w:val="28"/>
          <w:szCs w:val="28"/>
        </w:rPr>
        <w:t xml:space="preserve"> </w:t>
      </w:r>
      <w:r w:rsidR="00235483">
        <w:rPr>
          <w:sz w:val="28"/>
          <w:szCs w:val="28"/>
        </w:rPr>
        <w:t>как и в 202</w:t>
      </w:r>
      <w:r w:rsidR="00B13F9F">
        <w:rPr>
          <w:sz w:val="28"/>
          <w:szCs w:val="28"/>
        </w:rPr>
        <w:t>2</w:t>
      </w:r>
      <w:r w:rsidR="00235483">
        <w:rPr>
          <w:sz w:val="28"/>
          <w:szCs w:val="28"/>
        </w:rPr>
        <w:t xml:space="preserve"> году, </w:t>
      </w:r>
      <w:r>
        <w:rPr>
          <w:sz w:val="28"/>
          <w:szCs w:val="28"/>
        </w:rPr>
        <w:t>бизнес основан на производстве и торговле продовольственными товарами</w:t>
      </w:r>
      <w:r w:rsidR="00621579">
        <w:rPr>
          <w:sz w:val="28"/>
          <w:szCs w:val="28"/>
        </w:rPr>
        <w:t xml:space="preserve"> </w:t>
      </w:r>
      <w:r w:rsidR="007F2FD5" w:rsidRPr="007F2FD5">
        <w:rPr>
          <w:sz w:val="28"/>
          <w:szCs w:val="28"/>
        </w:rPr>
        <w:t>–</w:t>
      </w:r>
      <w:r w:rsidR="00621579" w:rsidRPr="007F2FD5">
        <w:rPr>
          <w:sz w:val="28"/>
          <w:szCs w:val="28"/>
        </w:rPr>
        <w:t xml:space="preserve"> </w:t>
      </w:r>
      <w:r w:rsidR="00B13F9F">
        <w:rPr>
          <w:sz w:val="28"/>
          <w:szCs w:val="28"/>
        </w:rPr>
        <w:t>37,5</w:t>
      </w:r>
      <w:r w:rsidR="00621579" w:rsidRPr="007F2FD5">
        <w:rPr>
          <w:sz w:val="28"/>
          <w:szCs w:val="28"/>
        </w:rPr>
        <w:t xml:space="preserve"> %</w:t>
      </w:r>
      <w:r w:rsidR="00B13F9F">
        <w:rPr>
          <w:sz w:val="28"/>
          <w:szCs w:val="28"/>
        </w:rPr>
        <w:t xml:space="preserve"> </w:t>
      </w:r>
      <w:r w:rsidR="00B13F9F" w:rsidRPr="00B13F9F">
        <w:rPr>
          <w:sz w:val="28"/>
          <w:szCs w:val="28"/>
        </w:rPr>
        <w:t xml:space="preserve">(в 2022 году – </w:t>
      </w:r>
      <w:r w:rsidR="00B13F9F">
        <w:rPr>
          <w:sz w:val="28"/>
          <w:szCs w:val="28"/>
        </w:rPr>
        <w:t>31,2</w:t>
      </w:r>
      <w:r w:rsidR="00B13F9F" w:rsidRPr="00B13F9F">
        <w:rPr>
          <w:sz w:val="28"/>
          <w:szCs w:val="28"/>
        </w:rPr>
        <w:t xml:space="preserve"> %)</w:t>
      </w:r>
      <w:r w:rsidRPr="007F2FD5">
        <w:rPr>
          <w:sz w:val="28"/>
          <w:szCs w:val="28"/>
        </w:rPr>
        <w:t>.</w:t>
      </w:r>
    </w:p>
    <w:p w:rsidR="00CE4F0B" w:rsidRPr="00B13F9F" w:rsidRDefault="00CE4F0B" w:rsidP="00CE4F0B">
      <w:pPr>
        <w:ind w:firstLine="709"/>
        <w:jc w:val="both"/>
        <w:rPr>
          <w:sz w:val="28"/>
          <w:szCs w:val="28"/>
        </w:rPr>
      </w:pPr>
      <w:r w:rsidRPr="00B13F9F">
        <w:rPr>
          <w:sz w:val="28"/>
          <w:szCs w:val="28"/>
        </w:rPr>
        <w:t xml:space="preserve">Кроме этого в опросе приняли участие субъекты </w:t>
      </w:r>
      <w:r w:rsidR="00FA59EB" w:rsidRPr="00B13F9F">
        <w:rPr>
          <w:sz w:val="28"/>
          <w:szCs w:val="28"/>
        </w:rPr>
        <w:t>МСП</w:t>
      </w:r>
      <w:r w:rsidR="008A7A3F" w:rsidRPr="00B13F9F">
        <w:rPr>
          <w:sz w:val="28"/>
          <w:szCs w:val="28"/>
        </w:rPr>
        <w:t>,</w:t>
      </w:r>
      <w:r w:rsidR="00462F44" w:rsidRPr="00B13F9F">
        <w:rPr>
          <w:sz w:val="28"/>
          <w:szCs w:val="28"/>
        </w:rPr>
        <w:t xml:space="preserve"> </w:t>
      </w:r>
      <w:r w:rsidR="006355C6" w:rsidRPr="00B13F9F">
        <w:rPr>
          <w:sz w:val="28"/>
          <w:szCs w:val="28"/>
        </w:rPr>
        <w:t>представляющие товарные рынки по предоставлению</w:t>
      </w:r>
      <w:r w:rsidRPr="00B13F9F">
        <w:rPr>
          <w:sz w:val="28"/>
          <w:szCs w:val="28"/>
        </w:rPr>
        <w:t xml:space="preserve"> услуг </w:t>
      </w:r>
      <w:r w:rsidR="007F2FD5" w:rsidRPr="00B13F9F">
        <w:rPr>
          <w:sz w:val="28"/>
          <w:szCs w:val="28"/>
        </w:rPr>
        <w:t>среднего профессионального образования</w:t>
      </w:r>
      <w:r w:rsidR="009D2F8E" w:rsidRPr="00B13F9F">
        <w:rPr>
          <w:sz w:val="28"/>
          <w:szCs w:val="28"/>
        </w:rPr>
        <w:t xml:space="preserve"> – </w:t>
      </w:r>
      <w:r w:rsidR="00123FEC">
        <w:rPr>
          <w:sz w:val="28"/>
          <w:szCs w:val="28"/>
        </w:rPr>
        <w:t>1,8</w:t>
      </w:r>
      <w:r w:rsidR="009D2F8E" w:rsidRPr="00B13F9F">
        <w:rPr>
          <w:sz w:val="28"/>
          <w:szCs w:val="28"/>
        </w:rPr>
        <w:t xml:space="preserve"> %</w:t>
      </w:r>
      <w:r w:rsidRPr="00B13F9F">
        <w:rPr>
          <w:sz w:val="28"/>
          <w:szCs w:val="28"/>
        </w:rPr>
        <w:t xml:space="preserve">, </w:t>
      </w:r>
      <w:r w:rsidR="00123FEC">
        <w:rPr>
          <w:sz w:val="28"/>
          <w:szCs w:val="28"/>
        </w:rPr>
        <w:t xml:space="preserve">дополнительного образования – 1,8 %, </w:t>
      </w:r>
      <w:r w:rsidRPr="00B13F9F">
        <w:rPr>
          <w:sz w:val="28"/>
          <w:szCs w:val="28"/>
        </w:rPr>
        <w:t xml:space="preserve"> </w:t>
      </w:r>
      <w:r w:rsidR="00621579" w:rsidRPr="00B13F9F">
        <w:rPr>
          <w:sz w:val="28"/>
          <w:szCs w:val="28"/>
        </w:rPr>
        <w:t xml:space="preserve">медицинских услуг </w:t>
      </w:r>
      <w:r w:rsidR="009D2F8E" w:rsidRPr="00B13F9F">
        <w:rPr>
          <w:sz w:val="28"/>
          <w:szCs w:val="28"/>
        </w:rPr>
        <w:t xml:space="preserve">– </w:t>
      </w:r>
      <w:r w:rsidR="00123FEC">
        <w:rPr>
          <w:sz w:val="28"/>
          <w:szCs w:val="28"/>
        </w:rPr>
        <w:t>5,4</w:t>
      </w:r>
      <w:r w:rsidR="00621579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>%, услу</w:t>
      </w:r>
      <w:r w:rsidR="006355C6" w:rsidRPr="00B13F9F">
        <w:rPr>
          <w:sz w:val="28"/>
          <w:szCs w:val="28"/>
        </w:rPr>
        <w:t>г розничной торговли лекарственными препаратами</w:t>
      </w:r>
      <w:r w:rsidRPr="00B13F9F">
        <w:rPr>
          <w:sz w:val="28"/>
          <w:szCs w:val="28"/>
        </w:rPr>
        <w:t xml:space="preserve"> </w:t>
      </w:r>
      <w:r w:rsidR="00235483" w:rsidRPr="00B13F9F">
        <w:rPr>
          <w:sz w:val="28"/>
          <w:szCs w:val="28"/>
        </w:rPr>
        <w:t>–</w:t>
      </w:r>
      <w:r w:rsidRPr="00B13F9F">
        <w:rPr>
          <w:sz w:val="28"/>
          <w:szCs w:val="28"/>
        </w:rPr>
        <w:t xml:space="preserve"> </w:t>
      </w:r>
      <w:r w:rsidR="00235483" w:rsidRPr="00B13F9F">
        <w:rPr>
          <w:sz w:val="28"/>
          <w:szCs w:val="28"/>
        </w:rPr>
        <w:t>8,3</w:t>
      </w:r>
      <w:r w:rsidR="00621579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 xml:space="preserve">%, </w:t>
      </w:r>
      <w:r w:rsidR="009D2F8E" w:rsidRPr="00B13F9F">
        <w:rPr>
          <w:sz w:val="28"/>
          <w:szCs w:val="28"/>
        </w:rPr>
        <w:t xml:space="preserve">ритуальных услуг – </w:t>
      </w:r>
      <w:r w:rsidR="00123FEC">
        <w:rPr>
          <w:sz w:val="28"/>
          <w:szCs w:val="28"/>
        </w:rPr>
        <w:t>5,4</w:t>
      </w:r>
      <w:r w:rsidR="009D2F8E" w:rsidRPr="00B13F9F">
        <w:rPr>
          <w:sz w:val="28"/>
          <w:szCs w:val="28"/>
        </w:rPr>
        <w:t xml:space="preserve"> %, </w:t>
      </w:r>
      <w:r w:rsidR="00123FEC">
        <w:rPr>
          <w:sz w:val="28"/>
          <w:szCs w:val="28"/>
        </w:rPr>
        <w:t xml:space="preserve">психолого-педагогического сопровождения детей – 1,8 %, ритуальных услуг -  3,6 %, </w:t>
      </w:r>
      <w:r w:rsidR="00235483" w:rsidRPr="00B13F9F">
        <w:rPr>
          <w:sz w:val="28"/>
          <w:szCs w:val="28"/>
        </w:rPr>
        <w:t xml:space="preserve">услуг по транспортировке и сбору твердых коммунальных отходов – </w:t>
      </w:r>
      <w:r w:rsidR="00123FEC">
        <w:rPr>
          <w:sz w:val="28"/>
          <w:szCs w:val="28"/>
        </w:rPr>
        <w:t>1,8</w:t>
      </w:r>
      <w:r w:rsidR="00235483" w:rsidRPr="00B13F9F">
        <w:rPr>
          <w:sz w:val="28"/>
          <w:szCs w:val="28"/>
        </w:rPr>
        <w:t xml:space="preserve"> %, услуг по благоустройству </w:t>
      </w:r>
      <w:proofErr w:type="spellStart"/>
      <w:r w:rsidR="00235483" w:rsidRPr="00B13F9F">
        <w:rPr>
          <w:sz w:val="28"/>
          <w:szCs w:val="28"/>
        </w:rPr>
        <w:t>гор</w:t>
      </w:r>
      <w:proofErr w:type="gramStart"/>
      <w:r w:rsidR="00235483" w:rsidRPr="00B13F9F">
        <w:rPr>
          <w:sz w:val="28"/>
          <w:szCs w:val="28"/>
        </w:rPr>
        <w:t>.с</w:t>
      </w:r>
      <w:proofErr w:type="gramEnd"/>
      <w:r w:rsidR="00235483" w:rsidRPr="00B13F9F">
        <w:rPr>
          <w:sz w:val="28"/>
          <w:szCs w:val="28"/>
        </w:rPr>
        <w:t>реды</w:t>
      </w:r>
      <w:proofErr w:type="spellEnd"/>
      <w:r w:rsidR="00235483" w:rsidRPr="00B13F9F">
        <w:rPr>
          <w:sz w:val="28"/>
          <w:szCs w:val="28"/>
        </w:rPr>
        <w:t xml:space="preserve"> – </w:t>
      </w:r>
      <w:r w:rsidR="00123FEC">
        <w:rPr>
          <w:sz w:val="28"/>
          <w:szCs w:val="28"/>
        </w:rPr>
        <w:t>1,8</w:t>
      </w:r>
      <w:r w:rsidR="00235483" w:rsidRPr="00B13F9F">
        <w:rPr>
          <w:sz w:val="28"/>
          <w:szCs w:val="28"/>
        </w:rPr>
        <w:t xml:space="preserve"> %, </w:t>
      </w:r>
      <w:r w:rsidR="006355C6" w:rsidRPr="00B13F9F">
        <w:rPr>
          <w:sz w:val="28"/>
          <w:szCs w:val="28"/>
        </w:rPr>
        <w:t xml:space="preserve">услуг по текущему ремонту </w:t>
      </w:r>
      <w:r w:rsidR="005A7DB4" w:rsidRPr="00B13F9F">
        <w:rPr>
          <w:sz w:val="28"/>
          <w:szCs w:val="28"/>
        </w:rPr>
        <w:t>помещений в многоквартирном доме</w:t>
      </w:r>
      <w:r w:rsidR="00621579" w:rsidRPr="00B13F9F">
        <w:rPr>
          <w:sz w:val="28"/>
          <w:szCs w:val="28"/>
        </w:rPr>
        <w:t xml:space="preserve"> </w:t>
      </w:r>
      <w:r w:rsidR="009D2F8E" w:rsidRPr="00B13F9F">
        <w:rPr>
          <w:sz w:val="28"/>
          <w:szCs w:val="28"/>
        </w:rPr>
        <w:t xml:space="preserve">– </w:t>
      </w:r>
      <w:r w:rsidR="00123FEC">
        <w:rPr>
          <w:sz w:val="28"/>
          <w:szCs w:val="28"/>
        </w:rPr>
        <w:t>3,6</w:t>
      </w:r>
      <w:r w:rsidR="00621579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 xml:space="preserve">%, </w:t>
      </w:r>
      <w:r w:rsidR="005A7DB4" w:rsidRPr="00B13F9F">
        <w:rPr>
          <w:sz w:val="28"/>
          <w:szCs w:val="28"/>
        </w:rPr>
        <w:t xml:space="preserve">услуг по </w:t>
      </w:r>
      <w:r w:rsidRPr="00B13F9F">
        <w:rPr>
          <w:sz w:val="28"/>
          <w:szCs w:val="28"/>
        </w:rPr>
        <w:t>перевоз</w:t>
      </w:r>
      <w:r w:rsidR="005A7DB4" w:rsidRPr="00B13F9F">
        <w:rPr>
          <w:sz w:val="28"/>
          <w:szCs w:val="28"/>
        </w:rPr>
        <w:t>ке</w:t>
      </w:r>
      <w:r w:rsidRPr="00B13F9F">
        <w:rPr>
          <w:sz w:val="28"/>
          <w:szCs w:val="28"/>
        </w:rPr>
        <w:t xml:space="preserve"> пассажиров</w:t>
      </w:r>
      <w:r w:rsidR="00621579" w:rsidRPr="00B13F9F">
        <w:rPr>
          <w:sz w:val="28"/>
          <w:szCs w:val="28"/>
        </w:rPr>
        <w:t xml:space="preserve"> по </w:t>
      </w:r>
      <w:r w:rsidRPr="00B13F9F">
        <w:rPr>
          <w:sz w:val="28"/>
          <w:szCs w:val="28"/>
        </w:rPr>
        <w:t xml:space="preserve"> </w:t>
      </w:r>
      <w:r w:rsidR="00621579" w:rsidRPr="00B13F9F">
        <w:rPr>
          <w:sz w:val="28"/>
          <w:szCs w:val="28"/>
        </w:rPr>
        <w:t xml:space="preserve">муниципальным и межмуниципальным маршрутам </w:t>
      </w:r>
      <w:r w:rsidR="00235483" w:rsidRPr="00B13F9F">
        <w:rPr>
          <w:sz w:val="28"/>
          <w:szCs w:val="28"/>
        </w:rPr>
        <w:t>–</w:t>
      </w:r>
      <w:r w:rsidRPr="00B13F9F">
        <w:rPr>
          <w:sz w:val="28"/>
          <w:szCs w:val="28"/>
        </w:rPr>
        <w:t xml:space="preserve"> </w:t>
      </w:r>
      <w:r w:rsidR="00123FEC">
        <w:rPr>
          <w:sz w:val="28"/>
          <w:szCs w:val="28"/>
        </w:rPr>
        <w:t>1,8</w:t>
      </w:r>
      <w:r w:rsidR="00621579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>%</w:t>
      </w:r>
      <w:r w:rsidR="005A7DB4" w:rsidRPr="00B13F9F">
        <w:rPr>
          <w:sz w:val="28"/>
          <w:szCs w:val="28"/>
        </w:rPr>
        <w:t xml:space="preserve">, услуг по ремонту автотранспортных средств </w:t>
      </w:r>
      <w:r w:rsidR="00235483" w:rsidRPr="00B13F9F">
        <w:rPr>
          <w:sz w:val="28"/>
          <w:szCs w:val="28"/>
        </w:rPr>
        <w:t>–</w:t>
      </w:r>
      <w:r w:rsidR="005A7DB4" w:rsidRPr="00B13F9F">
        <w:rPr>
          <w:sz w:val="28"/>
          <w:szCs w:val="28"/>
        </w:rPr>
        <w:t xml:space="preserve"> </w:t>
      </w:r>
      <w:r w:rsidR="00123FEC">
        <w:rPr>
          <w:sz w:val="28"/>
          <w:szCs w:val="28"/>
        </w:rPr>
        <w:t>5,4</w:t>
      </w:r>
      <w:r w:rsidR="00621579" w:rsidRPr="00B13F9F">
        <w:rPr>
          <w:sz w:val="28"/>
          <w:szCs w:val="28"/>
        </w:rPr>
        <w:t xml:space="preserve"> </w:t>
      </w:r>
      <w:r w:rsidR="005A7DB4" w:rsidRPr="00B13F9F">
        <w:rPr>
          <w:sz w:val="28"/>
          <w:szCs w:val="28"/>
        </w:rPr>
        <w:t xml:space="preserve">%, </w:t>
      </w:r>
      <w:r w:rsidR="00235483" w:rsidRPr="00B13F9F">
        <w:rPr>
          <w:sz w:val="28"/>
          <w:szCs w:val="28"/>
        </w:rPr>
        <w:t xml:space="preserve">рынок услуг связи 2,1 %, рынок кадастровых и земельных работ – </w:t>
      </w:r>
      <w:r w:rsidR="00123FEC">
        <w:rPr>
          <w:sz w:val="28"/>
          <w:szCs w:val="28"/>
        </w:rPr>
        <w:t>3,6</w:t>
      </w:r>
      <w:r w:rsidR="00235483" w:rsidRPr="00B13F9F">
        <w:rPr>
          <w:sz w:val="28"/>
          <w:szCs w:val="28"/>
        </w:rPr>
        <w:t xml:space="preserve"> %, </w:t>
      </w:r>
      <w:r w:rsidR="00621579" w:rsidRPr="00B13F9F">
        <w:rPr>
          <w:sz w:val="28"/>
          <w:szCs w:val="28"/>
        </w:rPr>
        <w:t xml:space="preserve">реализации сельскохозяйственной продукции </w:t>
      </w:r>
      <w:r w:rsidR="00235483" w:rsidRPr="00B13F9F">
        <w:rPr>
          <w:sz w:val="28"/>
          <w:szCs w:val="28"/>
        </w:rPr>
        <w:t xml:space="preserve">– </w:t>
      </w:r>
      <w:r w:rsidR="00123FEC">
        <w:rPr>
          <w:sz w:val="28"/>
          <w:szCs w:val="28"/>
        </w:rPr>
        <w:t>7,1</w:t>
      </w:r>
      <w:r w:rsidR="00621579" w:rsidRPr="00B13F9F">
        <w:rPr>
          <w:sz w:val="28"/>
          <w:szCs w:val="28"/>
        </w:rPr>
        <w:t xml:space="preserve"> %, услуги племенного животноводства</w:t>
      </w:r>
      <w:r w:rsidR="00BB0451" w:rsidRPr="00B13F9F">
        <w:rPr>
          <w:sz w:val="28"/>
          <w:szCs w:val="28"/>
        </w:rPr>
        <w:t xml:space="preserve"> </w:t>
      </w:r>
      <w:r w:rsidR="00123FEC">
        <w:rPr>
          <w:sz w:val="28"/>
          <w:szCs w:val="28"/>
        </w:rPr>
        <w:t>–</w:t>
      </w:r>
      <w:r w:rsidR="00235483" w:rsidRPr="00B13F9F">
        <w:rPr>
          <w:sz w:val="28"/>
          <w:szCs w:val="28"/>
        </w:rPr>
        <w:t xml:space="preserve"> </w:t>
      </w:r>
      <w:r w:rsidR="00123FEC">
        <w:rPr>
          <w:sz w:val="28"/>
          <w:szCs w:val="28"/>
        </w:rPr>
        <w:t>1,8</w:t>
      </w:r>
      <w:r w:rsidR="00621579" w:rsidRPr="00B13F9F">
        <w:rPr>
          <w:sz w:val="28"/>
          <w:szCs w:val="28"/>
        </w:rPr>
        <w:t xml:space="preserve"> %</w:t>
      </w:r>
      <w:r w:rsidR="005A7DB4" w:rsidRPr="00B13F9F">
        <w:rPr>
          <w:sz w:val="28"/>
          <w:szCs w:val="28"/>
        </w:rPr>
        <w:t>, услуг</w:t>
      </w:r>
      <w:r w:rsidR="00621579" w:rsidRPr="00B13F9F">
        <w:rPr>
          <w:sz w:val="28"/>
          <w:szCs w:val="28"/>
        </w:rPr>
        <w:t>и</w:t>
      </w:r>
      <w:r w:rsidR="005A7DB4" w:rsidRPr="00B13F9F">
        <w:rPr>
          <w:sz w:val="28"/>
          <w:szCs w:val="28"/>
        </w:rPr>
        <w:t xml:space="preserve"> </w:t>
      </w:r>
      <w:proofErr w:type="spellStart"/>
      <w:r w:rsidR="00621579" w:rsidRPr="00B13F9F">
        <w:rPr>
          <w:sz w:val="28"/>
          <w:szCs w:val="28"/>
        </w:rPr>
        <w:t>аквакультуры</w:t>
      </w:r>
      <w:proofErr w:type="spellEnd"/>
      <w:r w:rsidR="005A7DB4" w:rsidRPr="00B13F9F">
        <w:rPr>
          <w:sz w:val="28"/>
          <w:szCs w:val="28"/>
        </w:rPr>
        <w:t xml:space="preserve"> </w:t>
      </w:r>
      <w:r w:rsidR="00235483" w:rsidRPr="00B13F9F">
        <w:rPr>
          <w:sz w:val="28"/>
          <w:szCs w:val="28"/>
        </w:rPr>
        <w:t>–</w:t>
      </w:r>
      <w:r w:rsidR="005A7DB4" w:rsidRPr="00B13F9F">
        <w:rPr>
          <w:sz w:val="28"/>
          <w:szCs w:val="28"/>
        </w:rPr>
        <w:t xml:space="preserve"> </w:t>
      </w:r>
      <w:r w:rsidR="00123FEC">
        <w:rPr>
          <w:sz w:val="28"/>
          <w:szCs w:val="28"/>
        </w:rPr>
        <w:t>3,6</w:t>
      </w:r>
      <w:r w:rsidR="00235483" w:rsidRPr="00B13F9F">
        <w:rPr>
          <w:sz w:val="28"/>
          <w:szCs w:val="28"/>
        </w:rPr>
        <w:t xml:space="preserve"> </w:t>
      </w:r>
      <w:r w:rsidR="005A7DB4" w:rsidRPr="00B13F9F">
        <w:rPr>
          <w:sz w:val="28"/>
          <w:szCs w:val="28"/>
        </w:rPr>
        <w:t xml:space="preserve">%,  </w:t>
      </w:r>
      <w:r w:rsidR="005A28C4" w:rsidRPr="00B13F9F">
        <w:rPr>
          <w:sz w:val="28"/>
          <w:szCs w:val="28"/>
        </w:rPr>
        <w:t>,</w:t>
      </w:r>
      <w:r w:rsidRPr="00B13F9F">
        <w:rPr>
          <w:sz w:val="28"/>
          <w:szCs w:val="28"/>
        </w:rPr>
        <w:t xml:space="preserve"> рынок нефтепродуктов </w:t>
      </w:r>
      <w:r w:rsidR="00123FEC">
        <w:rPr>
          <w:sz w:val="28"/>
          <w:szCs w:val="28"/>
        </w:rPr>
        <w:t>–</w:t>
      </w:r>
      <w:r w:rsidRPr="00B13F9F">
        <w:rPr>
          <w:sz w:val="28"/>
          <w:szCs w:val="28"/>
        </w:rPr>
        <w:t xml:space="preserve"> </w:t>
      </w:r>
      <w:r w:rsidR="00123FEC">
        <w:rPr>
          <w:sz w:val="28"/>
          <w:szCs w:val="28"/>
        </w:rPr>
        <w:t>1,8</w:t>
      </w:r>
      <w:r w:rsidR="005B56CE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>%</w:t>
      </w:r>
      <w:r w:rsidR="005B56CE" w:rsidRPr="00B13F9F">
        <w:rPr>
          <w:sz w:val="28"/>
          <w:szCs w:val="28"/>
        </w:rPr>
        <w:t xml:space="preserve"> и</w:t>
      </w:r>
      <w:r w:rsidR="005A28C4" w:rsidRPr="00B13F9F">
        <w:rPr>
          <w:sz w:val="28"/>
          <w:szCs w:val="28"/>
        </w:rPr>
        <w:t xml:space="preserve"> </w:t>
      </w:r>
      <w:r w:rsidR="005B56CE" w:rsidRPr="00B13F9F">
        <w:rPr>
          <w:sz w:val="28"/>
          <w:szCs w:val="28"/>
        </w:rPr>
        <w:t xml:space="preserve">рынок наружной рекламы </w:t>
      </w:r>
      <w:r w:rsidR="00235483" w:rsidRPr="00B13F9F">
        <w:rPr>
          <w:sz w:val="28"/>
          <w:szCs w:val="28"/>
        </w:rPr>
        <w:t xml:space="preserve">– </w:t>
      </w:r>
      <w:r w:rsidR="00123FEC">
        <w:rPr>
          <w:sz w:val="28"/>
          <w:szCs w:val="28"/>
        </w:rPr>
        <w:t>3,6</w:t>
      </w:r>
      <w:r w:rsidR="005B56CE" w:rsidRPr="00B13F9F">
        <w:rPr>
          <w:sz w:val="28"/>
          <w:szCs w:val="28"/>
        </w:rPr>
        <w:t xml:space="preserve"> %.</w:t>
      </w:r>
    </w:p>
    <w:p w:rsidR="00AD1A96" w:rsidRPr="00B13F9F" w:rsidRDefault="00AD1A96" w:rsidP="00AD1A96">
      <w:pPr>
        <w:ind w:firstLine="709"/>
        <w:jc w:val="both"/>
        <w:rPr>
          <w:sz w:val="28"/>
          <w:szCs w:val="28"/>
        </w:rPr>
      </w:pPr>
      <w:r w:rsidRPr="00B13F9F">
        <w:rPr>
          <w:sz w:val="28"/>
          <w:szCs w:val="28"/>
        </w:rPr>
        <w:t>Основной продукцией (товаром, работой, услугой) всех респондентов являются:</w:t>
      </w:r>
    </w:p>
    <w:p w:rsidR="00AD1A96" w:rsidRPr="00B13F9F" w:rsidRDefault="00F42CBB" w:rsidP="0073416D">
      <w:pPr>
        <w:ind w:firstLine="709"/>
        <w:jc w:val="both"/>
        <w:rPr>
          <w:sz w:val="28"/>
          <w:szCs w:val="28"/>
        </w:rPr>
      </w:pPr>
      <w:r w:rsidRPr="00B13F9F">
        <w:rPr>
          <w:sz w:val="28"/>
          <w:szCs w:val="28"/>
        </w:rPr>
        <w:t>- предоставле</w:t>
      </w:r>
      <w:r w:rsidR="00BB0451" w:rsidRPr="00B13F9F">
        <w:rPr>
          <w:sz w:val="28"/>
          <w:szCs w:val="28"/>
        </w:rPr>
        <w:t>ние ус</w:t>
      </w:r>
      <w:r w:rsidR="0073416D" w:rsidRPr="00B13F9F">
        <w:rPr>
          <w:sz w:val="28"/>
          <w:szCs w:val="28"/>
        </w:rPr>
        <w:t xml:space="preserve">луг – </w:t>
      </w:r>
      <w:r w:rsidR="00366084">
        <w:rPr>
          <w:sz w:val="28"/>
          <w:szCs w:val="28"/>
        </w:rPr>
        <w:t>41,1</w:t>
      </w:r>
      <w:r w:rsidR="0073416D" w:rsidRPr="00B13F9F">
        <w:rPr>
          <w:sz w:val="28"/>
          <w:szCs w:val="28"/>
        </w:rPr>
        <w:t xml:space="preserve"> % (в 202</w:t>
      </w:r>
      <w:r w:rsidR="00123FEC">
        <w:rPr>
          <w:sz w:val="28"/>
          <w:szCs w:val="28"/>
        </w:rPr>
        <w:t>2</w:t>
      </w:r>
      <w:r w:rsidR="0073416D" w:rsidRPr="00B13F9F">
        <w:rPr>
          <w:sz w:val="28"/>
          <w:szCs w:val="28"/>
        </w:rPr>
        <w:t xml:space="preserve"> году – 37,5</w:t>
      </w:r>
      <w:r w:rsidR="00BB0451" w:rsidRPr="00B13F9F">
        <w:rPr>
          <w:sz w:val="28"/>
          <w:szCs w:val="28"/>
        </w:rPr>
        <w:t xml:space="preserve"> %);</w:t>
      </w:r>
    </w:p>
    <w:p w:rsidR="00F42CBB" w:rsidRPr="00B13F9F" w:rsidRDefault="00F42CBB" w:rsidP="00F42CBB">
      <w:pPr>
        <w:ind w:firstLine="709"/>
        <w:jc w:val="both"/>
        <w:rPr>
          <w:sz w:val="28"/>
          <w:szCs w:val="28"/>
        </w:rPr>
      </w:pPr>
      <w:r w:rsidRPr="00B13F9F">
        <w:rPr>
          <w:sz w:val="28"/>
          <w:szCs w:val="28"/>
        </w:rPr>
        <w:t xml:space="preserve">- сырье и материалы для дальнейшей переработки </w:t>
      </w:r>
      <w:r w:rsidR="0073416D" w:rsidRPr="00B13F9F">
        <w:rPr>
          <w:sz w:val="28"/>
          <w:szCs w:val="28"/>
        </w:rPr>
        <w:t xml:space="preserve">– </w:t>
      </w:r>
      <w:r w:rsidR="00366084">
        <w:rPr>
          <w:sz w:val="28"/>
          <w:szCs w:val="28"/>
        </w:rPr>
        <w:t>5,4</w:t>
      </w:r>
      <w:r w:rsidRPr="00B13F9F">
        <w:rPr>
          <w:sz w:val="28"/>
          <w:szCs w:val="28"/>
        </w:rPr>
        <w:t xml:space="preserve"> % </w:t>
      </w:r>
      <w:r w:rsidR="0073416D" w:rsidRPr="00B13F9F">
        <w:rPr>
          <w:sz w:val="28"/>
          <w:szCs w:val="28"/>
        </w:rPr>
        <w:t>(в 202</w:t>
      </w:r>
      <w:r w:rsidR="00123FEC">
        <w:rPr>
          <w:sz w:val="28"/>
          <w:szCs w:val="28"/>
        </w:rPr>
        <w:t>2</w:t>
      </w:r>
      <w:r w:rsidR="00BB0451" w:rsidRPr="00B13F9F">
        <w:rPr>
          <w:sz w:val="28"/>
          <w:szCs w:val="28"/>
        </w:rPr>
        <w:t xml:space="preserve"> году </w:t>
      </w:r>
      <w:r w:rsidR="0073416D" w:rsidRPr="00B13F9F">
        <w:rPr>
          <w:sz w:val="28"/>
          <w:szCs w:val="28"/>
        </w:rPr>
        <w:t>–</w:t>
      </w:r>
      <w:r w:rsidRPr="00B13F9F">
        <w:rPr>
          <w:sz w:val="28"/>
          <w:szCs w:val="28"/>
        </w:rPr>
        <w:t xml:space="preserve"> </w:t>
      </w:r>
      <w:r w:rsidR="00123FEC">
        <w:rPr>
          <w:sz w:val="28"/>
          <w:szCs w:val="28"/>
        </w:rPr>
        <w:t>6,3</w:t>
      </w:r>
      <w:r w:rsidRPr="00B13F9F">
        <w:rPr>
          <w:sz w:val="28"/>
          <w:szCs w:val="28"/>
        </w:rPr>
        <w:t xml:space="preserve"> %)</w:t>
      </w:r>
      <w:r w:rsidR="00BB0451" w:rsidRPr="00B13F9F">
        <w:rPr>
          <w:sz w:val="28"/>
          <w:szCs w:val="28"/>
        </w:rPr>
        <w:t>;</w:t>
      </w:r>
    </w:p>
    <w:p w:rsidR="00F42CBB" w:rsidRPr="00B13F9F" w:rsidRDefault="00F42CBB" w:rsidP="00AD1A96">
      <w:pPr>
        <w:ind w:firstLine="709"/>
        <w:jc w:val="both"/>
        <w:rPr>
          <w:sz w:val="28"/>
          <w:szCs w:val="28"/>
        </w:rPr>
      </w:pPr>
      <w:r w:rsidRPr="00B13F9F">
        <w:rPr>
          <w:sz w:val="28"/>
          <w:szCs w:val="28"/>
        </w:rPr>
        <w:t>- компоненты для произ</w:t>
      </w:r>
      <w:r w:rsidR="0073416D" w:rsidRPr="00B13F9F">
        <w:rPr>
          <w:sz w:val="28"/>
          <w:szCs w:val="28"/>
        </w:rPr>
        <w:t xml:space="preserve">водства конечной продукции – </w:t>
      </w:r>
      <w:r w:rsidR="00366084">
        <w:rPr>
          <w:sz w:val="28"/>
          <w:szCs w:val="28"/>
        </w:rPr>
        <w:t>3,6</w:t>
      </w:r>
      <w:r w:rsidRPr="00B13F9F">
        <w:rPr>
          <w:sz w:val="28"/>
          <w:szCs w:val="28"/>
        </w:rPr>
        <w:t xml:space="preserve"> % </w:t>
      </w:r>
      <w:r w:rsidR="0073416D" w:rsidRPr="00B13F9F">
        <w:rPr>
          <w:sz w:val="28"/>
          <w:szCs w:val="28"/>
        </w:rPr>
        <w:t>(в 202</w:t>
      </w:r>
      <w:r w:rsidR="00123FEC">
        <w:rPr>
          <w:sz w:val="28"/>
          <w:szCs w:val="28"/>
        </w:rPr>
        <w:t>2</w:t>
      </w:r>
      <w:r w:rsidR="00BB0451" w:rsidRPr="00B13F9F">
        <w:rPr>
          <w:sz w:val="28"/>
          <w:szCs w:val="28"/>
        </w:rPr>
        <w:t xml:space="preserve"> году </w:t>
      </w:r>
      <w:r w:rsidR="0073416D" w:rsidRPr="00B13F9F">
        <w:rPr>
          <w:sz w:val="28"/>
          <w:szCs w:val="28"/>
        </w:rPr>
        <w:t xml:space="preserve">– </w:t>
      </w:r>
      <w:r w:rsidR="00123FEC">
        <w:rPr>
          <w:sz w:val="28"/>
          <w:szCs w:val="28"/>
        </w:rPr>
        <w:t>4,2</w:t>
      </w:r>
      <w:r w:rsidRPr="00B13F9F">
        <w:rPr>
          <w:sz w:val="28"/>
          <w:szCs w:val="28"/>
        </w:rPr>
        <w:t xml:space="preserve"> %)</w:t>
      </w:r>
      <w:r w:rsidR="00BB0451" w:rsidRPr="00B13F9F">
        <w:rPr>
          <w:sz w:val="28"/>
          <w:szCs w:val="28"/>
        </w:rPr>
        <w:t>;</w:t>
      </w:r>
    </w:p>
    <w:p w:rsidR="00AD1A96" w:rsidRPr="00B13F9F" w:rsidRDefault="001B683F" w:rsidP="001B683F">
      <w:pPr>
        <w:ind w:firstLine="709"/>
        <w:jc w:val="both"/>
        <w:rPr>
          <w:sz w:val="28"/>
          <w:szCs w:val="28"/>
        </w:rPr>
      </w:pPr>
      <w:r w:rsidRPr="00B13F9F">
        <w:rPr>
          <w:sz w:val="28"/>
          <w:szCs w:val="28"/>
        </w:rPr>
        <w:t>-</w:t>
      </w:r>
      <w:r w:rsidR="00BB0451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 xml:space="preserve">конечная продукция </w:t>
      </w:r>
      <w:r w:rsidR="0073416D" w:rsidRPr="00B13F9F">
        <w:rPr>
          <w:sz w:val="28"/>
          <w:szCs w:val="28"/>
        </w:rPr>
        <w:t>–</w:t>
      </w:r>
      <w:r w:rsidRPr="00B13F9F">
        <w:rPr>
          <w:sz w:val="28"/>
          <w:szCs w:val="28"/>
        </w:rPr>
        <w:t xml:space="preserve"> </w:t>
      </w:r>
      <w:r w:rsidR="00366084">
        <w:rPr>
          <w:sz w:val="28"/>
          <w:szCs w:val="28"/>
        </w:rPr>
        <w:t>10,7</w:t>
      </w:r>
      <w:r w:rsidRPr="00B13F9F">
        <w:rPr>
          <w:sz w:val="28"/>
          <w:szCs w:val="28"/>
        </w:rPr>
        <w:t xml:space="preserve"> </w:t>
      </w:r>
      <w:r w:rsidR="00AD1A96" w:rsidRPr="00B13F9F">
        <w:rPr>
          <w:sz w:val="28"/>
          <w:szCs w:val="28"/>
        </w:rPr>
        <w:t xml:space="preserve">% </w:t>
      </w:r>
      <w:r w:rsidRPr="00B13F9F">
        <w:rPr>
          <w:sz w:val="28"/>
          <w:szCs w:val="28"/>
        </w:rPr>
        <w:t>(в 202</w:t>
      </w:r>
      <w:r w:rsidR="00123FEC">
        <w:rPr>
          <w:sz w:val="28"/>
          <w:szCs w:val="28"/>
        </w:rPr>
        <w:t>2</w:t>
      </w:r>
      <w:r w:rsidRPr="00B13F9F">
        <w:rPr>
          <w:sz w:val="28"/>
          <w:szCs w:val="28"/>
        </w:rPr>
        <w:t xml:space="preserve"> г</w:t>
      </w:r>
      <w:r w:rsidR="00BB0451" w:rsidRPr="00B13F9F">
        <w:rPr>
          <w:sz w:val="28"/>
          <w:szCs w:val="28"/>
        </w:rPr>
        <w:t xml:space="preserve">оду </w:t>
      </w:r>
      <w:r w:rsidR="0073416D" w:rsidRPr="00B13F9F">
        <w:rPr>
          <w:sz w:val="28"/>
          <w:szCs w:val="28"/>
        </w:rPr>
        <w:t xml:space="preserve">– </w:t>
      </w:r>
      <w:r w:rsidR="00123FEC">
        <w:rPr>
          <w:sz w:val="28"/>
          <w:szCs w:val="28"/>
        </w:rPr>
        <w:t>12,5</w:t>
      </w:r>
      <w:r w:rsidR="00BB0451" w:rsidRPr="00B13F9F">
        <w:rPr>
          <w:sz w:val="28"/>
          <w:szCs w:val="28"/>
        </w:rPr>
        <w:t xml:space="preserve"> %);</w:t>
      </w:r>
    </w:p>
    <w:p w:rsidR="001B683F" w:rsidRPr="00B13F9F" w:rsidRDefault="00AD1A96" w:rsidP="00366084">
      <w:pPr>
        <w:ind w:firstLine="709"/>
        <w:jc w:val="both"/>
        <w:rPr>
          <w:sz w:val="28"/>
          <w:szCs w:val="28"/>
        </w:rPr>
      </w:pPr>
      <w:r w:rsidRPr="00B13F9F">
        <w:rPr>
          <w:sz w:val="28"/>
          <w:szCs w:val="28"/>
        </w:rPr>
        <w:t>-</w:t>
      </w:r>
      <w:r w:rsidR="00BB0451" w:rsidRPr="00B13F9F">
        <w:rPr>
          <w:sz w:val="28"/>
          <w:szCs w:val="28"/>
        </w:rPr>
        <w:t xml:space="preserve"> </w:t>
      </w:r>
      <w:r w:rsidR="001B683F" w:rsidRPr="00B13F9F">
        <w:rPr>
          <w:sz w:val="28"/>
          <w:szCs w:val="28"/>
        </w:rPr>
        <w:t>бизнес осуществляет торговлю или дистрибуцию товаров и услуг, произведенных другими компаниями</w:t>
      </w:r>
      <w:r w:rsidR="00486F24" w:rsidRPr="00B13F9F">
        <w:rPr>
          <w:sz w:val="28"/>
          <w:szCs w:val="28"/>
        </w:rPr>
        <w:t xml:space="preserve">– </w:t>
      </w:r>
      <w:r w:rsidR="00366084">
        <w:rPr>
          <w:sz w:val="28"/>
          <w:szCs w:val="28"/>
        </w:rPr>
        <w:t>39,3</w:t>
      </w:r>
      <w:r w:rsidR="001B683F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 xml:space="preserve">% </w:t>
      </w:r>
      <w:r w:rsidR="00BB0451" w:rsidRPr="00B13F9F">
        <w:rPr>
          <w:sz w:val="28"/>
          <w:szCs w:val="28"/>
        </w:rPr>
        <w:t>(в 202</w:t>
      </w:r>
      <w:r w:rsidR="00123FEC">
        <w:rPr>
          <w:sz w:val="28"/>
          <w:szCs w:val="28"/>
        </w:rPr>
        <w:t>2</w:t>
      </w:r>
      <w:r w:rsidR="00BB0451" w:rsidRPr="00B13F9F">
        <w:rPr>
          <w:sz w:val="28"/>
          <w:szCs w:val="28"/>
        </w:rPr>
        <w:t xml:space="preserve"> году </w:t>
      </w:r>
      <w:r w:rsidR="001B683F" w:rsidRPr="00B13F9F">
        <w:rPr>
          <w:sz w:val="28"/>
          <w:szCs w:val="28"/>
        </w:rPr>
        <w:t xml:space="preserve"> </w:t>
      </w:r>
      <w:r w:rsidR="00BB0451" w:rsidRPr="00B13F9F">
        <w:rPr>
          <w:sz w:val="28"/>
          <w:szCs w:val="28"/>
        </w:rPr>
        <w:t>-</w:t>
      </w:r>
      <w:r w:rsidR="0073416D" w:rsidRPr="00B13F9F">
        <w:rPr>
          <w:sz w:val="28"/>
          <w:szCs w:val="28"/>
        </w:rPr>
        <w:t xml:space="preserve"> </w:t>
      </w:r>
      <w:r w:rsidR="00123FEC">
        <w:rPr>
          <w:sz w:val="28"/>
          <w:szCs w:val="28"/>
        </w:rPr>
        <w:t>39,5</w:t>
      </w:r>
      <w:r w:rsidR="001B683F" w:rsidRPr="00B13F9F">
        <w:rPr>
          <w:sz w:val="28"/>
          <w:szCs w:val="28"/>
        </w:rPr>
        <w:t xml:space="preserve"> %).</w:t>
      </w:r>
    </w:p>
    <w:p w:rsidR="00916698" w:rsidRPr="00B13F9F" w:rsidRDefault="00F42CBB" w:rsidP="0058221B">
      <w:pPr>
        <w:ind w:firstLine="709"/>
        <w:jc w:val="both"/>
        <w:rPr>
          <w:sz w:val="28"/>
          <w:szCs w:val="28"/>
        </w:rPr>
      </w:pPr>
      <w:proofErr w:type="gramStart"/>
      <w:r w:rsidRPr="00B13F9F">
        <w:rPr>
          <w:sz w:val="28"/>
          <w:szCs w:val="28"/>
        </w:rPr>
        <w:t xml:space="preserve">Опрос респондентов о географических рынках, представляемых бизнесом, показал, что основным рынком сбыта продукции (товаров, работ, услуг) </w:t>
      </w:r>
      <w:r w:rsidR="00366084">
        <w:rPr>
          <w:sz w:val="28"/>
          <w:szCs w:val="28"/>
        </w:rPr>
        <w:t>51,8</w:t>
      </w:r>
      <w:r w:rsidR="001B683F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>%</w:t>
      </w:r>
      <w:r w:rsidR="001B683F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>(в</w:t>
      </w:r>
      <w:r w:rsidR="0073416D" w:rsidRPr="00B13F9F">
        <w:rPr>
          <w:sz w:val="28"/>
          <w:szCs w:val="28"/>
        </w:rPr>
        <w:t xml:space="preserve"> 202</w:t>
      </w:r>
      <w:r w:rsidR="00123FEC">
        <w:rPr>
          <w:sz w:val="28"/>
          <w:szCs w:val="28"/>
        </w:rPr>
        <w:t>2</w:t>
      </w:r>
      <w:r w:rsidRPr="00B13F9F">
        <w:rPr>
          <w:sz w:val="28"/>
          <w:szCs w:val="28"/>
        </w:rPr>
        <w:t xml:space="preserve"> году </w:t>
      </w:r>
      <w:r w:rsidR="001B683F" w:rsidRPr="00B13F9F">
        <w:rPr>
          <w:sz w:val="28"/>
          <w:szCs w:val="28"/>
        </w:rPr>
        <w:t xml:space="preserve">– </w:t>
      </w:r>
      <w:r w:rsidR="00123FEC">
        <w:rPr>
          <w:sz w:val="28"/>
          <w:szCs w:val="28"/>
        </w:rPr>
        <w:t>52,1</w:t>
      </w:r>
      <w:r w:rsidR="001B683F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 xml:space="preserve">%) является локальный рынок (отдельное муниципальное образование), на рынок Ставропольского края пришлось </w:t>
      </w:r>
      <w:r w:rsidR="00366084">
        <w:rPr>
          <w:sz w:val="28"/>
          <w:szCs w:val="28"/>
        </w:rPr>
        <w:t>28,6</w:t>
      </w:r>
      <w:r w:rsidR="001B683F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>% опрошенных</w:t>
      </w:r>
      <w:r w:rsidR="0073416D" w:rsidRPr="00B13F9F">
        <w:rPr>
          <w:sz w:val="28"/>
          <w:szCs w:val="28"/>
        </w:rPr>
        <w:t xml:space="preserve"> (в 202</w:t>
      </w:r>
      <w:r w:rsidR="00123FEC">
        <w:rPr>
          <w:sz w:val="28"/>
          <w:szCs w:val="28"/>
        </w:rPr>
        <w:t>2</w:t>
      </w:r>
      <w:r w:rsidRPr="00B13F9F">
        <w:rPr>
          <w:sz w:val="28"/>
          <w:szCs w:val="28"/>
        </w:rPr>
        <w:t xml:space="preserve"> году </w:t>
      </w:r>
      <w:r w:rsidR="0073416D" w:rsidRPr="00B13F9F">
        <w:rPr>
          <w:sz w:val="28"/>
          <w:szCs w:val="28"/>
        </w:rPr>
        <w:t xml:space="preserve">– </w:t>
      </w:r>
      <w:r w:rsidR="00123FEC">
        <w:rPr>
          <w:sz w:val="28"/>
          <w:szCs w:val="28"/>
        </w:rPr>
        <w:t>27,1</w:t>
      </w:r>
      <w:r w:rsidR="001B683F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 xml:space="preserve">%), </w:t>
      </w:r>
      <w:r w:rsidR="00A15F8D" w:rsidRPr="00B13F9F">
        <w:rPr>
          <w:sz w:val="28"/>
          <w:szCs w:val="28"/>
        </w:rPr>
        <w:t xml:space="preserve">на </w:t>
      </w:r>
      <w:r w:rsidR="001B683F" w:rsidRPr="00B13F9F">
        <w:rPr>
          <w:sz w:val="28"/>
          <w:szCs w:val="28"/>
        </w:rPr>
        <w:t>рынки нескольких субъектов Российской Федерации</w:t>
      </w:r>
      <w:r w:rsidR="0073416D" w:rsidRPr="00B13F9F">
        <w:rPr>
          <w:sz w:val="28"/>
          <w:szCs w:val="28"/>
        </w:rPr>
        <w:t xml:space="preserve">  </w:t>
      </w:r>
      <w:r w:rsidR="00366084">
        <w:rPr>
          <w:sz w:val="28"/>
          <w:szCs w:val="28"/>
        </w:rPr>
        <w:t>7,1</w:t>
      </w:r>
      <w:r w:rsidR="001B683F" w:rsidRPr="00B13F9F">
        <w:rPr>
          <w:sz w:val="28"/>
          <w:szCs w:val="28"/>
        </w:rPr>
        <w:t xml:space="preserve"> </w:t>
      </w:r>
      <w:r w:rsidRPr="00B13F9F">
        <w:rPr>
          <w:sz w:val="28"/>
          <w:szCs w:val="28"/>
        </w:rPr>
        <w:t>%</w:t>
      </w:r>
      <w:r w:rsidR="001B683F" w:rsidRPr="00B13F9F">
        <w:rPr>
          <w:sz w:val="28"/>
          <w:szCs w:val="28"/>
        </w:rPr>
        <w:t xml:space="preserve"> </w:t>
      </w:r>
      <w:r w:rsidR="0073416D" w:rsidRPr="00B13F9F">
        <w:rPr>
          <w:sz w:val="28"/>
          <w:szCs w:val="28"/>
        </w:rPr>
        <w:t>(в 202</w:t>
      </w:r>
      <w:r w:rsidR="00123FEC">
        <w:rPr>
          <w:sz w:val="28"/>
          <w:szCs w:val="28"/>
        </w:rPr>
        <w:t>2</w:t>
      </w:r>
      <w:r w:rsidR="001B683F" w:rsidRPr="00B13F9F">
        <w:rPr>
          <w:sz w:val="28"/>
          <w:szCs w:val="28"/>
        </w:rPr>
        <w:t xml:space="preserve"> году –</w:t>
      </w:r>
      <w:r w:rsidR="0073416D" w:rsidRPr="00B13F9F">
        <w:rPr>
          <w:sz w:val="28"/>
          <w:szCs w:val="28"/>
        </w:rPr>
        <w:t xml:space="preserve"> </w:t>
      </w:r>
      <w:r w:rsidR="00123FEC">
        <w:rPr>
          <w:sz w:val="28"/>
          <w:szCs w:val="28"/>
        </w:rPr>
        <w:t>8,3</w:t>
      </w:r>
      <w:r w:rsidR="001B683F" w:rsidRPr="00B13F9F">
        <w:rPr>
          <w:sz w:val="28"/>
          <w:szCs w:val="28"/>
        </w:rPr>
        <w:t xml:space="preserve"> %)</w:t>
      </w:r>
      <w:r w:rsidR="0073416D" w:rsidRPr="00B13F9F">
        <w:rPr>
          <w:sz w:val="28"/>
          <w:szCs w:val="28"/>
        </w:rPr>
        <w:t xml:space="preserve">, на рынок Российской Федерации и стран СНГ – </w:t>
      </w:r>
      <w:r w:rsidR="00366084">
        <w:rPr>
          <w:sz w:val="28"/>
          <w:szCs w:val="28"/>
        </w:rPr>
        <w:t>3,6</w:t>
      </w:r>
      <w:r w:rsidR="0073416D" w:rsidRPr="00B13F9F">
        <w:rPr>
          <w:sz w:val="28"/>
          <w:szCs w:val="28"/>
        </w:rPr>
        <w:t xml:space="preserve"> %</w:t>
      </w:r>
      <w:r w:rsidR="00123FEC">
        <w:rPr>
          <w:sz w:val="28"/>
          <w:szCs w:val="28"/>
        </w:rPr>
        <w:t xml:space="preserve"> </w:t>
      </w:r>
      <w:r w:rsidR="00123FEC" w:rsidRPr="00123FEC">
        <w:rPr>
          <w:sz w:val="28"/>
          <w:szCs w:val="28"/>
        </w:rPr>
        <w:t>(в 2022 году</w:t>
      </w:r>
      <w:proofErr w:type="gramEnd"/>
      <w:r w:rsidR="00123FEC" w:rsidRPr="00123FEC">
        <w:rPr>
          <w:sz w:val="28"/>
          <w:szCs w:val="28"/>
        </w:rPr>
        <w:t xml:space="preserve"> – </w:t>
      </w:r>
      <w:r w:rsidR="00123FEC">
        <w:rPr>
          <w:sz w:val="28"/>
          <w:szCs w:val="28"/>
        </w:rPr>
        <w:t>4,2</w:t>
      </w:r>
      <w:r w:rsidR="00123FEC" w:rsidRPr="00123FEC">
        <w:rPr>
          <w:sz w:val="28"/>
          <w:szCs w:val="28"/>
        </w:rPr>
        <w:t xml:space="preserve"> %)</w:t>
      </w:r>
      <w:r w:rsidRPr="00B13F9F">
        <w:rPr>
          <w:sz w:val="28"/>
          <w:szCs w:val="28"/>
        </w:rPr>
        <w:t xml:space="preserve">. </w:t>
      </w:r>
    </w:p>
    <w:p w:rsidR="0060401A" w:rsidRPr="0058221B" w:rsidRDefault="00916698" w:rsidP="0060401A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оценки субъектами предпринимательской </w:t>
      </w:r>
      <w:r w:rsidRPr="008A7A3F">
        <w:rPr>
          <w:b/>
          <w:sz w:val="28"/>
          <w:szCs w:val="28"/>
        </w:rPr>
        <w:t>деятельности уровня конкуренции и прим</w:t>
      </w:r>
      <w:r w:rsidR="008A7A3F">
        <w:rPr>
          <w:b/>
          <w:sz w:val="28"/>
          <w:szCs w:val="28"/>
        </w:rPr>
        <w:t xml:space="preserve">ерного количества конкурентов в </w:t>
      </w:r>
      <w:r w:rsidRPr="008A7A3F">
        <w:rPr>
          <w:b/>
          <w:sz w:val="28"/>
          <w:szCs w:val="28"/>
        </w:rPr>
        <w:t>сравнении с прошлым годом.</w:t>
      </w:r>
    </w:p>
    <w:p w:rsidR="00870E26" w:rsidRPr="000B4896" w:rsidRDefault="00227F3F" w:rsidP="00916698">
      <w:pPr>
        <w:ind w:firstLine="708"/>
        <w:jc w:val="both"/>
        <w:rPr>
          <w:sz w:val="28"/>
          <w:szCs w:val="28"/>
        </w:rPr>
      </w:pPr>
      <w:r w:rsidRPr="000B4896">
        <w:rPr>
          <w:sz w:val="28"/>
          <w:szCs w:val="28"/>
        </w:rPr>
        <w:t>Немаловажным фактором функционирования бизнеса является возрастание количества конкурентов у предпринимателей на рынке. Отвечая на вопрос о количестве конкурентов для</w:t>
      </w:r>
      <w:r w:rsidR="00B07793" w:rsidRPr="000B4896">
        <w:rPr>
          <w:sz w:val="28"/>
          <w:szCs w:val="28"/>
        </w:rPr>
        <w:t xml:space="preserve"> бизнеса, преобладающее число</w:t>
      </w:r>
      <w:r w:rsidRPr="000B4896">
        <w:rPr>
          <w:sz w:val="28"/>
          <w:szCs w:val="28"/>
        </w:rPr>
        <w:t xml:space="preserve"> опрошенных представителей указала </w:t>
      </w:r>
      <w:r w:rsidR="00B07793" w:rsidRPr="000B4896">
        <w:rPr>
          <w:sz w:val="28"/>
          <w:szCs w:val="28"/>
        </w:rPr>
        <w:t xml:space="preserve">на </w:t>
      </w:r>
      <w:r w:rsidRPr="000B4896">
        <w:rPr>
          <w:sz w:val="28"/>
          <w:szCs w:val="28"/>
        </w:rPr>
        <w:t>количество конкурентов</w:t>
      </w:r>
      <w:r w:rsidR="0073416D" w:rsidRPr="000B4896">
        <w:rPr>
          <w:sz w:val="28"/>
          <w:szCs w:val="28"/>
        </w:rPr>
        <w:t xml:space="preserve"> от 1 до 3 – </w:t>
      </w:r>
      <w:r w:rsidR="00EB69A7">
        <w:rPr>
          <w:sz w:val="28"/>
          <w:szCs w:val="28"/>
        </w:rPr>
        <w:t>35,7</w:t>
      </w:r>
      <w:r w:rsidR="0073416D" w:rsidRPr="000B4896">
        <w:rPr>
          <w:sz w:val="28"/>
          <w:szCs w:val="28"/>
        </w:rPr>
        <w:t xml:space="preserve"> % (в 202</w:t>
      </w:r>
      <w:r w:rsidR="00366084">
        <w:rPr>
          <w:sz w:val="28"/>
          <w:szCs w:val="28"/>
        </w:rPr>
        <w:t>2</w:t>
      </w:r>
      <w:r w:rsidRPr="000B4896">
        <w:rPr>
          <w:sz w:val="28"/>
          <w:szCs w:val="28"/>
        </w:rPr>
        <w:t xml:space="preserve"> г</w:t>
      </w:r>
      <w:r w:rsidR="00A15F8D" w:rsidRPr="000B4896">
        <w:rPr>
          <w:sz w:val="28"/>
          <w:szCs w:val="28"/>
        </w:rPr>
        <w:t xml:space="preserve">оду </w:t>
      </w:r>
      <w:r w:rsidR="0073416D" w:rsidRPr="000B4896">
        <w:rPr>
          <w:sz w:val="28"/>
          <w:szCs w:val="28"/>
        </w:rPr>
        <w:t>–</w:t>
      </w:r>
      <w:r w:rsidRPr="000B4896">
        <w:rPr>
          <w:sz w:val="28"/>
          <w:szCs w:val="28"/>
        </w:rPr>
        <w:t xml:space="preserve"> </w:t>
      </w:r>
      <w:r w:rsidR="00366084">
        <w:rPr>
          <w:sz w:val="28"/>
          <w:szCs w:val="28"/>
        </w:rPr>
        <w:t>39,6</w:t>
      </w:r>
      <w:r w:rsidR="00484401" w:rsidRPr="000B4896">
        <w:rPr>
          <w:sz w:val="28"/>
          <w:szCs w:val="28"/>
        </w:rPr>
        <w:t>%</w:t>
      </w:r>
      <w:r w:rsidR="00486F24" w:rsidRPr="000B4896">
        <w:rPr>
          <w:sz w:val="28"/>
          <w:szCs w:val="28"/>
        </w:rPr>
        <w:t xml:space="preserve">), </w:t>
      </w:r>
      <w:r w:rsidR="00EB69A7">
        <w:rPr>
          <w:sz w:val="28"/>
          <w:szCs w:val="28"/>
        </w:rPr>
        <w:t>21,4</w:t>
      </w:r>
      <w:r w:rsidR="0073416D" w:rsidRPr="000B4896">
        <w:rPr>
          <w:sz w:val="28"/>
          <w:szCs w:val="28"/>
        </w:rPr>
        <w:t xml:space="preserve"> </w:t>
      </w:r>
      <w:r w:rsidRPr="000B4896">
        <w:rPr>
          <w:sz w:val="28"/>
          <w:szCs w:val="28"/>
        </w:rPr>
        <w:t xml:space="preserve"> % (</w:t>
      </w:r>
      <w:r w:rsidR="0073416D" w:rsidRPr="000B4896">
        <w:rPr>
          <w:sz w:val="28"/>
          <w:szCs w:val="28"/>
        </w:rPr>
        <w:t>в 202</w:t>
      </w:r>
      <w:r w:rsidR="00366084">
        <w:rPr>
          <w:sz w:val="28"/>
          <w:szCs w:val="28"/>
        </w:rPr>
        <w:t>2</w:t>
      </w:r>
      <w:r w:rsidR="00A15F8D" w:rsidRPr="000B4896">
        <w:rPr>
          <w:sz w:val="28"/>
          <w:szCs w:val="28"/>
        </w:rPr>
        <w:t xml:space="preserve"> году</w:t>
      </w:r>
      <w:r w:rsidR="00034DAE" w:rsidRPr="000B4896">
        <w:rPr>
          <w:sz w:val="28"/>
          <w:szCs w:val="28"/>
        </w:rPr>
        <w:t xml:space="preserve"> </w:t>
      </w:r>
      <w:r w:rsidR="0073416D" w:rsidRPr="000B4896">
        <w:rPr>
          <w:sz w:val="28"/>
          <w:szCs w:val="28"/>
        </w:rPr>
        <w:t>–</w:t>
      </w:r>
      <w:r w:rsidR="00034DAE" w:rsidRPr="000B4896">
        <w:rPr>
          <w:sz w:val="28"/>
          <w:szCs w:val="28"/>
        </w:rPr>
        <w:t xml:space="preserve"> </w:t>
      </w:r>
      <w:r w:rsidR="00366084">
        <w:rPr>
          <w:sz w:val="28"/>
          <w:szCs w:val="28"/>
        </w:rPr>
        <w:t>18,8</w:t>
      </w:r>
      <w:r w:rsidR="00484401" w:rsidRPr="000B4896">
        <w:rPr>
          <w:sz w:val="28"/>
          <w:szCs w:val="28"/>
        </w:rPr>
        <w:t>%</w:t>
      </w:r>
      <w:r w:rsidR="00C36AA2" w:rsidRPr="000B4896">
        <w:rPr>
          <w:sz w:val="28"/>
          <w:szCs w:val="28"/>
        </w:rPr>
        <w:t xml:space="preserve">) ответили, что имеют </w:t>
      </w:r>
      <w:r w:rsidRPr="000B4896">
        <w:rPr>
          <w:sz w:val="28"/>
          <w:szCs w:val="28"/>
        </w:rPr>
        <w:t>4 и более</w:t>
      </w:r>
      <w:r w:rsidR="00C36AA2" w:rsidRPr="000B4896">
        <w:rPr>
          <w:sz w:val="28"/>
          <w:szCs w:val="28"/>
        </w:rPr>
        <w:t xml:space="preserve"> конкурентов</w:t>
      </w:r>
      <w:r w:rsidR="00B07793" w:rsidRPr="000B4896">
        <w:rPr>
          <w:sz w:val="28"/>
          <w:szCs w:val="28"/>
        </w:rPr>
        <w:t xml:space="preserve">, </w:t>
      </w:r>
      <w:r w:rsidR="00C36AA2" w:rsidRPr="000B4896">
        <w:rPr>
          <w:sz w:val="28"/>
          <w:szCs w:val="28"/>
        </w:rPr>
        <w:t>о большом числе</w:t>
      </w:r>
      <w:r w:rsidR="00B07793" w:rsidRPr="000B4896">
        <w:rPr>
          <w:sz w:val="28"/>
          <w:szCs w:val="28"/>
        </w:rPr>
        <w:t xml:space="preserve"> </w:t>
      </w:r>
      <w:r w:rsidRPr="000B4896">
        <w:rPr>
          <w:sz w:val="28"/>
          <w:szCs w:val="28"/>
        </w:rPr>
        <w:t xml:space="preserve">конкурентов </w:t>
      </w:r>
      <w:r w:rsidR="00C36AA2" w:rsidRPr="000B4896">
        <w:rPr>
          <w:sz w:val="28"/>
          <w:szCs w:val="28"/>
        </w:rPr>
        <w:t xml:space="preserve">заявили </w:t>
      </w:r>
      <w:r w:rsidR="00EB69A7">
        <w:rPr>
          <w:sz w:val="28"/>
          <w:szCs w:val="28"/>
        </w:rPr>
        <w:t>25</w:t>
      </w:r>
      <w:r w:rsidR="00C36AA2" w:rsidRPr="000B4896">
        <w:rPr>
          <w:sz w:val="28"/>
          <w:szCs w:val="28"/>
        </w:rPr>
        <w:t xml:space="preserve"> </w:t>
      </w:r>
      <w:r w:rsidRPr="000B4896">
        <w:rPr>
          <w:sz w:val="28"/>
          <w:szCs w:val="28"/>
        </w:rPr>
        <w:t>% (</w:t>
      </w:r>
      <w:r w:rsidR="00C36AA2" w:rsidRPr="000B4896">
        <w:rPr>
          <w:sz w:val="28"/>
          <w:szCs w:val="28"/>
        </w:rPr>
        <w:t>в 202</w:t>
      </w:r>
      <w:r w:rsidR="00EB69A7">
        <w:rPr>
          <w:sz w:val="28"/>
          <w:szCs w:val="28"/>
        </w:rPr>
        <w:t>2</w:t>
      </w:r>
      <w:r w:rsidR="00A15F8D" w:rsidRPr="000B4896">
        <w:rPr>
          <w:sz w:val="28"/>
          <w:szCs w:val="28"/>
        </w:rPr>
        <w:t xml:space="preserve"> году </w:t>
      </w:r>
      <w:r w:rsidR="00C36AA2" w:rsidRPr="000B4896">
        <w:rPr>
          <w:sz w:val="28"/>
          <w:szCs w:val="28"/>
        </w:rPr>
        <w:t>–</w:t>
      </w:r>
      <w:r w:rsidR="00034DAE" w:rsidRPr="000B4896">
        <w:rPr>
          <w:sz w:val="28"/>
          <w:szCs w:val="28"/>
        </w:rPr>
        <w:t xml:space="preserve"> </w:t>
      </w:r>
      <w:r w:rsidR="00EB69A7">
        <w:rPr>
          <w:sz w:val="28"/>
          <w:szCs w:val="28"/>
        </w:rPr>
        <w:t>29,2</w:t>
      </w:r>
      <w:r w:rsidR="00C36AA2" w:rsidRPr="000B4896">
        <w:rPr>
          <w:sz w:val="28"/>
          <w:szCs w:val="28"/>
        </w:rPr>
        <w:t xml:space="preserve"> </w:t>
      </w:r>
      <w:r w:rsidR="00484401" w:rsidRPr="000B4896">
        <w:rPr>
          <w:sz w:val="28"/>
          <w:szCs w:val="28"/>
        </w:rPr>
        <w:t>%</w:t>
      </w:r>
      <w:r w:rsidR="00EA526D" w:rsidRPr="000B4896">
        <w:rPr>
          <w:sz w:val="28"/>
          <w:szCs w:val="28"/>
        </w:rPr>
        <w:t>). О</w:t>
      </w:r>
      <w:r w:rsidR="00B07793" w:rsidRPr="000B4896">
        <w:rPr>
          <w:sz w:val="28"/>
          <w:szCs w:val="28"/>
        </w:rPr>
        <w:t xml:space="preserve"> том</w:t>
      </w:r>
      <w:r w:rsidR="00EA526D" w:rsidRPr="000B4896">
        <w:rPr>
          <w:sz w:val="28"/>
          <w:szCs w:val="28"/>
        </w:rPr>
        <w:t>,</w:t>
      </w:r>
      <w:r w:rsidR="00B07793" w:rsidRPr="000B4896">
        <w:rPr>
          <w:sz w:val="28"/>
          <w:szCs w:val="28"/>
        </w:rPr>
        <w:t xml:space="preserve"> что у них </w:t>
      </w:r>
      <w:proofErr w:type="gramStart"/>
      <w:r w:rsidR="00B07793" w:rsidRPr="000B4896">
        <w:rPr>
          <w:sz w:val="28"/>
          <w:szCs w:val="28"/>
        </w:rPr>
        <w:t>нет конкурентов заявили</w:t>
      </w:r>
      <w:proofErr w:type="gramEnd"/>
      <w:r w:rsidR="00B07793" w:rsidRPr="000B4896">
        <w:rPr>
          <w:sz w:val="28"/>
          <w:szCs w:val="28"/>
        </w:rPr>
        <w:t xml:space="preserve"> </w:t>
      </w:r>
      <w:r w:rsidR="00C36AA2" w:rsidRPr="000B4896">
        <w:rPr>
          <w:sz w:val="28"/>
          <w:szCs w:val="28"/>
        </w:rPr>
        <w:t>–</w:t>
      </w:r>
      <w:r w:rsidR="00EA526D" w:rsidRPr="000B4896">
        <w:rPr>
          <w:sz w:val="28"/>
          <w:szCs w:val="28"/>
        </w:rPr>
        <w:t xml:space="preserve"> </w:t>
      </w:r>
      <w:r w:rsidR="00EB69A7">
        <w:rPr>
          <w:sz w:val="28"/>
          <w:szCs w:val="28"/>
        </w:rPr>
        <w:t>7,1</w:t>
      </w:r>
      <w:r w:rsidR="00B07793" w:rsidRPr="000B4896">
        <w:rPr>
          <w:sz w:val="28"/>
          <w:szCs w:val="28"/>
        </w:rPr>
        <w:t xml:space="preserve"> % (</w:t>
      </w:r>
      <w:r w:rsidR="00A15F8D" w:rsidRPr="000B4896">
        <w:rPr>
          <w:sz w:val="28"/>
          <w:szCs w:val="28"/>
        </w:rPr>
        <w:t xml:space="preserve">в </w:t>
      </w:r>
      <w:r w:rsidR="00C36AA2" w:rsidRPr="000B4896">
        <w:rPr>
          <w:sz w:val="28"/>
          <w:szCs w:val="28"/>
        </w:rPr>
        <w:t>202</w:t>
      </w:r>
      <w:r w:rsidR="00EB69A7">
        <w:rPr>
          <w:sz w:val="28"/>
          <w:szCs w:val="28"/>
        </w:rPr>
        <w:t xml:space="preserve">2 </w:t>
      </w:r>
      <w:r w:rsidR="00A15F8D" w:rsidRPr="000B4896">
        <w:rPr>
          <w:sz w:val="28"/>
          <w:szCs w:val="28"/>
        </w:rPr>
        <w:t xml:space="preserve">году </w:t>
      </w:r>
      <w:r w:rsidR="00C36AA2" w:rsidRPr="000B4896">
        <w:rPr>
          <w:sz w:val="28"/>
          <w:szCs w:val="28"/>
        </w:rPr>
        <w:t>–</w:t>
      </w:r>
      <w:r w:rsidR="00B07793" w:rsidRPr="000B4896">
        <w:rPr>
          <w:sz w:val="28"/>
          <w:szCs w:val="28"/>
        </w:rPr>
        <w:t xml:space="preserve"> </w:t>
      </w:r>
      <w:r w:rsidR="00EB69A7">
        <w:rPr>
          <w:sz w:val="28"/>
          <w:szCs w:val="28"/>
        </w:rPr>
        <w:t>6,3</w:t>
      </w:r>
      <w:r w:rsidR="00B07793" w:rsidRPr="000B4896">
        <w:rPr>
          <w:sz w:val="28"/>
          <w:szCs w:val="28"/>
        </w:rPr>
        <w:t xml:space="preserve"> %)</w:t>
      </w:r>
      <w:r w:rsidR="00EA526D" w:rsidRPr="000B4896">
        <w:rPr>
          <w:sz w:val="28"/>
          <w:szCs w:val="28"/>
        </w:rPr>
        <w:t xml:space="preserve"> респондентов.</w:t>
      </w:r>
    </w:p>
    <w:p w:rsidR="0060401A" w:rsidRPr="000B4896" w:rsidRDefault="00227F3F" w:rsidP="0058221B">
      <w:pPr>
        <w:ind w:firstLine="709"/>
        <w:jc w:val="both"/>
        <w:rPr>
          <w:sz w:val="28"/>
          <w:szCs w:val="28"/>
        </w:rPr>
      </w:pPr>
      <w:r w:rsidRPr="000B4896">
        <w:rPr>
          <w:sz w:val="28"/>
          <w:szCs w:val="28"/>
        </w:rPr>
        <w:t>Важным фактором в работе и развитии бизнеса является изменение числа конкурентов</w:t>
      </w:r>
      <w:r w:rsidR="00862C08" w:rsidRPr="000B4896">
        <w:rPr>
          <w:sz w:val="28"/>
          <w:szCs w:val="28"/>
        </w:rPr>
        <w:t xml:space="preserve"> на рынке</w:t>
      </w:r>
      <w:r w:rsidR="00FC4441" w:rsidRPr="000B4896">
        <w:rPr>
          <w:sz w:val="28"/>
          <w:szCs w:val="28"/>
        </w:rPr>
        <w:t>, поскольку именно увеличение числа к</w:t>
      </w:r>
      <w:r w:rsidR="00A15F8D" w:rsidRPr="000B4896">
        <w:rPr>
          <w:sz w:val="28"/>
          <w:szCs w:val="28"/>
        </w:rPr>
        <w:t xml:space="preserve">онкурентов </w:t>
      </w:r>
      <w:r w:rsidR="00A15F8D" w:rsidRPr="000B4896">
        <w:rPr>
          <w:sz w:val="28"/>
          <w:szCs w:val="28"/>
        </w:rPr>
        <w:lastRenderedPageBreak/>
        <w:t>стимулирует субъекты</w:t>
      </w:r>
      <w:r w:rsidR="00FC4441" w:rsidRPr="000B4896">
        <w:rPr>
          <w:sz w:val="28"/>
          <w:szCs w:val="28"/>
        </w:rPr>
        <w:t xml:space="preserve"> предпринимательской деятельности применять меры по повышению </w:t>
      </w:r>
      <w:r w:rsidR="00D4086D" w:rsidRPr="000B4896">
        <w:rPr>
          <w:sz w:val="28"/>
          <w:szCs w:val="28"/>
        </w:rPr>
        <w:t>конкурентоспособности</w:t>
      </w:r>
      <w:r w:rsidR="00FC4441" w:rsidRPr="000B4896">
        <w:rPr>
          <w:sz w:val="28"/>
          <w:szCs w:val="28"/>
        </w:rPr>
        <w:t xml:space="preserve"> своих товаров и услуг с целью удержан</w:t>
      </w:r>
      <w:r w:rsidR="00A15F8D" w:rsidRPr="000B4896">
        <w:rPr>
          <w:sz w:val="28"/>
          <w:szCs w:val="28"/>
        </w:rPr>
        <w:t>ия</w:t>
      </w:r>
      <w:r w:rsidR="00FC4441" w:rsidRPr="000B4896">
        <w:rPr>
          <w:sz w:val="28"/>
          <w:szCs w:val="28"/>
        </w:rPr>
        <w:t xml:space="preserve"> конкурентных преимущ</w:t>
      </w:r>
      <w:r w:rsidR="00D4086D" w:rsidRPr="000B4896">
        <w:rPr>
          <w:sz w:val="28"/>
          <w:szCs w:val="28"/>
        </w:rPr>
        <w:t>еств на рынке. Так респондентам предлагало</w:t>
      </w:r>
      <w:r w:rsidR="00FC4441" w:rsidRPr="000B4896">
        <w:rPr>
          <w:sz w:val="28"/>
          <w:szCs w:val="28"/>
        </w:rPr>
        <w:t xml:space="preserve">сь </w:t>
      </w:r>
      <w:r w:rsidR="00627940" w:rsidRPr="000B4896">
        <w:rPr>
          <w:sz w:val="28"/>
          <w:szCs w:val="28"/>
        </w:rPr>
        <w:t>ответить на вопрос: «Как изменилось число конкурентов бизнеса, который вы представляете на рынке товаров и услуг». Среди опрошенных су</w:t>
      </w:r>
      <w:r w:rsidR="0019397F" w:rsidRPr="000B4896">
        <w:rPr>
          <w:sz w:val="28"/>
          <w:szCs w:val="28"/>
        </w:rPr>
        <w:t xml:space="preserve">бъектов МСП </w:t>
      </w:r>
      <w:r w:rsidR="00C36AA2" w:rsidRPr="000B4896">
        <w:rPr>
          <w:sz w:val="28"/>
          <w:szCs w:val="28"/>
        </w:rPr>
        <w:t xml:space="preserve"> </w:t>
      </w:r>
      <w:r w:rsidR="00EB69A7">
        <w:rPr>
          <w:sz w:val="28"/>
          <w:szCs w:val="28"/>
        </w:rPr>
        <w:t>26,8</w:t>
      </w:r>
      <w:r w:rsidR="00C36AA2" w:rsidRPr="000B4896">
        <w:rPr>
          <w:sz w:val="28"/>
          <w:szCs w:val="28"/>
        </w:rPr>
        <w:t xml:space="preserve"> % (в 202</w:t>
      </w:r>
      <w:r w:rsidR="00EB69A7">
        <w:rPr>
          <w:sz w:val="28"/>
          <w:szCs w:val="28"/>
        </w:rPr>
        <w:t>2</w:t>
      </w:r>
      <w:r w:rsidR="00A15F8D" w:rsidRPr="000B4896">
        <w:rPr>
          <w:sz w:val="28"/>
          <w:szCs w:val="28"/>
        </w:rPr>
        <w:t xml:space="preserve"> году</w:t>
      </w:r>
      <w:r w:rsidR="0019397F" w:rsidRPr="000B4896">
        <w:rPr>
          <w:sz w:val="28"/>
          <w:szCs w:val="28"/>
        </w:rPr>
        <w:t xml:space="preserve"> </w:t>
      </w:r>
      <w:r w:rsidR="00C36AA2" w:rsidRPr="000B4896">
        <w:rPr>
          <w:sz w:val="28"/>
          <w:szCs w:val="28"/>
        </w:rPr>
        <w:t xml:space="preserve">– </w:t>
      </w:r>
      <w:r w:rsidR="00EB69A7">
        <w:rPr>
          <w:sz w:val="28"/>
          <w:szCs w:val="28"/>
        </w:rPr>
        <w:t>25,0</w:t>
      </w:r>
      <w:r w:rsidR="00C36AA2" w:rsidRPr="000B4896">
        <w:rPr>
          <w:sz w:val="28"/>
          <w:szCs w:val="28"/>
        </w:rPr>
        <w:t xml:space="preserve"> </w:t>
      </w:r>
      <w:r w:rsidR="00627940" w:rsidRPr="000B4896">
        <w:rPr>
          <w:sz w:val="28"/>
          <w:szCs w:val="28"/>
        </w:rPr>
        <w:t>%) считают, что за последние 3 года число конкурентов би</w:t>
      </w:r>
      <w:r w:rsidR="00081F61" w:rsidRPr="000B4896">
        <w:rPr>
          <w:sz w:val="28"/>
          <w:szCs w:val="28"/>
        </w:rPr>
        <w:t>знеса, который они представляют</w:t>
      </w:r>
      <w:r w:rsidR="00627940" w:rsidRPr="000B4896">
        <w:rPr>
          <w:sz w:val="28"/>
          <w:szCs w:val="28"/>
        </w:rPr>
        <w:t xml:space="preserve"> на основном рынке товаров и услуг, уве</w:t>
      </w:r>
      <w:r w:rsidR="00EA526D" w:rsidRPr="000B4896">
        <w:rPr>
          <w:sz w:val="28"/>
          <w:szCs w:val="28"/>
        </w:rPr>
        <w:t>личилось в среднем от 1 до 3</w:t>
      </w:r>
      <w:r w:rsidR="00486F24" w:rsidRPr="000B4896">
        <w:rPr>
          <w:sz w:val="28"/>
          <w:szCs w:val="28"/>
        </w:rPr>
        <w:t xml:space="preserve">, а </w:t>
      </w:r>
      <w:r w:rsidR="00EB69A7">
        <w:rPr>
          <w:sz w:val="28"/>
          <w:szCs w:val="28"/>
        </w:rPr>
        <w:t>3,6</w:t>
      </w:r>
      <w:r w:rsidR="00EA526D" w:rsidRPr="000B4896">
        <w:rPr>
          <w:sz w:val="28"/>
          <w:szCs w:val="28"/>
        </w:rPr>
        <w:t xml:space="preserve"> </w:t>
      </w:r>
      <w:r w:rsidR="00627940" w:rsidRPr="000B4896">
        <w:rPr>
          <w:sz w:val="28"/>
          <w:szCs w:val="28"/>
        </w:rPr>
        <w:t>% (</w:t>
      </w:r>
      <w:r w:rsidR="00C36AA2" w:rsidRPr="000B4896">
        <w:rPr>
          <w:sz w:val="28"/>
          <w:szCs w:val="28"/>
        </w:rPr>
        <w:t>в 202</w:t>
      </w:r>
      <w:r w:rsidR="00EB69A7">
        <w:rPr>
          <w:sz w:val="28"/>
          <w:szCs w:val="28"/>
        </w:rPr>
        <w:t>2</w:t>
      </w:r>
      <w:r w:rsidR="00EA526D" w:rsidRPr="000B4896">
        <w:rPr>
          <w:sz w:val="28"/>
          <w:szCs w:val="28"/>
        </w:rPr>
        <w:t xml:space="preserve"> г</w:t>
      </w:r>
      <w:r w:rsidR="00A15F8D" w:rsidRPr="000B4896">
        <w:rPr>
          <w:sz w:val="28"/>
          <w:szCs w:val="28"/>
        </w:rPr>
        <w:t>оду</w:t>
      </w:r>
      <w:r w:rsidR="00EA526D" w:rsidRPr="000B4896">
        <w:rPr>
          <w:sz w:val="28"/>
          <w:szCs w:val="28"/>
        </w:rPr>
        <w:t xml:space="preserve"> </w:t>
      </w:r>
      <w:r w:rsidR="00C36AA2" w:rsidRPr="000B4896">
        <w:rPr>
          <w:sz w:val="28"/>
          <w:szCs w:val="28"/>
        </w:rPr>
        <w:t xml:space="preserve">– </w:t>
      </w:r>
      <w:r w:rsidR="00EB69A7">
        <w:rPr>
          <w:sz w:val="28"/>
          <w:szCs w:val="28"/>
        </w:rPr>
        <w:t>4,2</w:t>
      </w:r>
      <w:r w:rsidR="00EA526D" w:rsidRPr="000B4896">
        <w:rPr>
          <w:sz w:val="28"/>
          <w:szCs w:val="28"/>
        </w:rPr>
        <w:t xml:space="preserve"> %</w:t>
      </w:r>
      <w:r w:rsidR="00627940" w:rsidRPr="000B4896">
        <w:rPr>
          <w:sz w:val="28"/>
          <w:szCs w:val="28"/>
        </w:rPr>
        <w:t>)</w:t>
      </w:r>
      <w:r w:rsidR="00D4086D" w:rsidRPr="000B4896">
        <w:rPr>
          <w:sz w:val="28"/>
          <w:szCs w:val="28"/>
        </w:rPr>
        <w:t xml:space="preserve"> считают, что количество конкурентов выросло более чем н</w:t>
      </w:r>
      <w:r w:rsidR="00CA493F" w:rsidRPr="000B4896">
        <w:rPr>
          <w:sz w:val="28"/>
          <w:szCs w:val="28"/>
        </w:rPr>
        <w:t>а 4 конкурента.</w:t>
      </w:r>
      <w:r w:rsidR="00EA526D" w:rsidRPr="000B4896">
        <w:rPr>
          <w:sz w:val="28"/>
          <w:szCs w:val="28"/>
        </w:rPr>
        <w:t xml:space="preserve"> </w:t>
      </w:r>
      <w:r w:rsidR="00EB69A7">
        <w:rPr>
          <w:sz w:val="28"/>
          <w:szCs w:val="28"/>
        </w:rPr>
        <w:t>Д</w:t>
      </w:r>
      <w:r w:rsidR="00CA493F" w:rsidRPr="000B4896">
        <w:rPr>
          <w:sz w:val="28"/>
          <w:szCs w:val="28"/>
        </w:rPr>
        <w:t xml:space="preserve">оля опрошенных заявивших о сокращении на 1-3 конкурента </w:t>
      </w:r>
      <w:r w:rsidR="00C36AA2" w:rsidRPr="000B4896">
        <w:rPr>
          <w:sz w:val="28"/>
          <w:szCs w:val="28"/>
        </w:rPr>
        <w:t>– 14,</w:t>
      </w:r>
      <w:r w:rsidR="00EB69A7">
        <w:rPr>
          <w:sz w:val="28"/>
          <w:szCs w:val="28"/>
        </w:rPr>
        <w:t>3</w:t>
      </w:r>
      <w:r w:rsidR="00C36AA2" w:rsidRPr="000B4896">
        <w:rPr>
          <w:sz w:val="28"/>
          <w:szCs w:val="28"/>
        </w:rPr>
        <w:t xml:space="preserve"> % (в 202</w:t>
      </w:r>
      <w:r w:rsidR="00EB69A7">
        <w:rPr>
          <w:sz w:val="28"/>
          <w:szCs w:val="28"/>
        </w:rPr>
        <w:t>2</w:t>
      </w:r>
      <w:r w:rsidR="00CA493F" w:rsidRPr="000B4896">
        <w:rPr>
          <w:sz w:val="28"/>
          <w:szCs w:val="28"/>
        </w:rPr>
        <w:t xml:space="preserve"> году </w:t>
      </w:r>
      <w:r w:rsidR="00C36AA2" w:rsidRPr="000B4896">
        <w:rPr>
          <w:sz w:val="28"/>
          <w:szCs w:val="28"/>
        </w:rPr>
        <w:t>–</w:t>
      </w:r>
      <w:r w:rsidR="0060401A" w:rsidRPr="000B4896">
        <w:rPr>
          <w:sz w:val="28"/>
          <w:szCs w:val="28"/>
        </w:rPr>
        <w:t xml:space="preserve"> </w:t>
      </w:r>
      <w:r w:rsidR="00EB69A7">
        <w:rPr>
          <w:sz w:val="28"/>
          <w:szCs w:val="28"/>
        </w:rPr>
        <w:t>14,5</w:t>
      </w:r>
      <w:r w:rsidR="0060401A" w:rsidRPr="000B4896">
        <w:rPr>
          <w:sz w:val="28"/>
          <w:szCs w:val="28"/>
        </w:rPr>
        <w:t xml:space="preserve"> </w:t>
      </w:r>
      <w:r w:rsidR="00CA493F" w:rsidRPr="000B4896">
        <w:rPr>
          <w:sz w:val="28"/>
          <w:szCs w:val="28"/>
        </w:rPr>
        <w:t>%)</w:t>
      </w:r>
      <w:r w:rsidR="0060401A" w:rsidRPr="000B4896">
        <w:rPr>
          <w:sz w:val="28"/>
          <w:szCs w:val="28"/>
        </w:rPr>
        <w:t xml:space="preserve">, </w:t>
      </w:r>
      <w:r w:rsidR="00EA526D" w:rsidRPr="000B4896">
        <w:rPr>
          <w:sz w:val="28"/>
          <w:szCs w:val="28"/>
        </w:rPr>
        <w:t xml:space="preserve">при этом </w:t>
      </w:r>
      <w:r w:rsidR="00EB69A7">
        <w:rPr>
          <w:sz w:val="28"/>
          <w:szCs w:val="28"/>
        </w:rPr>
        <w:t>42,9</w:t>
      </w:r>
      <w:r w:rsidR="00EA526D" w:rsidRPr="000B4896">
        <w:rPr>
          <w:sz w:val="28"/>
          <w:szCs w:val="28"/>
        </w:rPr>
        <w:t xml:space="preserve"> % </w:t>
      </w:r>
      <w:r w:rsidR="00C36AA2" w:rsidRPr="000B4896">
        <w:rPr>
          <w:sz w:val="28"/>
          <w:szCs w:val="28"/>
        </w:rPr>
        <w:t>(в 202</w:t>
      </w:r>
      <w:r w:rsidR="00EB69A7">
        <w:rPr>
          <w:sz w:val="28"/>
          <w:szCs w:val="28"/>
        </w:rPr>
        <w:t>2</w:t>
      </w:r>
      <w:r w:rsidR="00EA526D" w:rsidRPr="000B4896">
        <w:rPr>
          <w:sz w:val="28"/>
          <w:szCs w:val="28"/>
        </w:rPr>
        <w:t xml:space="preserve"> г</w:t>
      </w:r>
      <w:r w:rsidR="00A15F8D" w:rsidRPr="000B4896">
        <w:rPr>
          <w:sz w:val="28"/>
          <w:szCs w:val="28"/>
        </w:rPr>
        <w:t xml:space="preserve">оду </w:t>
      </w:r>
      <w:r w:rsidR="00C36AA2" w:rsidRPr="000B4896">
        <w:rPr>
          <w:sz w:val="28"/>
          <w:szCs w:val="28"/>
        </w:rPr>
        <w:t>–</w:t>
      </w:r>
      <w:r w:rsidR="00EA526D" w:rsidRPr="000B4896">
        <w:rPr>
          <w:sz w:val="28"/>
          <w:szCs w:val="28"/>
        </w:rPr>
        <w:t xml:space="preserve"> </w:t>
      </w:r>
      <w:r w:rsidR="00EB69A7">
        <w:rPr>
          <w:sz w:val="28"/>
          <w:szCs w:val="28"/>
        </w:rPr>
        <w:t>43,7</w:t>
      </w:r>
      <w:r w:rsidR="00EA526D" w:rsidRPr="000B4896">
        <w:rPr>
          <w:sz w:val="28"/>
          <w:szCs w:val="28"/>
        </w:rPr>
        <w:t xml:space="preserve"> %)</w:t>
      </w:r>
      <w:r w:rsidR="00CA493F" w:rsidRPr="000B4896">
        <w:rPr>
          <w:sz w:val="28"/>
          <w:szCs w:val="28"/>
        </w:rPr>
        <w:t xml:space="preserve"> считают, что число конкурентов бизнеса, который они представляют, не изменилось.</w:t>
      </w:r>
      <w:r w:rsidR="0060401A" w:rsidRPr="000B4896">
        <w:rPr>
          <w:sz w:val="28"/>
          <w:szCs w:val="28"/>
        </w:rPr>
        <w:t xml:space="preserve"> Более наглядно как изменилось число конкурентов бизнеса за </w:t>
      </w:r>
      <w:proofErr w:type="gramStart"/>
      <w:r w:rsidR="0060401A" w:rsidRPr="000B4896">
        <w:rPr>
          <w:sz w:val="28"/>
          <w:szCs w:val="28"/>
        </w:rPr>
        <w:t>последние</w:t>
      </w:r>
      <w:proofErr w:type="gramEnd"/>
      <w:r w:rsidR="0060401A" w:rsidRPr="000B4896">
        <w:rPr>
          <w:sz w:val="28"/>
          <w:szCs w:val="28"/>
        </w:rPr>
        <w:t xml:space="preserve"> 3 года можно ув</w:t>
      </w:r>
      <w:r w:rsidR="0058221B" w:rsidRPr="000B4896">
        <w:rPr>
          <w:sz w:val="28"/>
          <w:szCs w:val="28"/>
        </w:rPr>
        <w:t>идеть на рисунке 47.</w:t>
      </w:r>
    </w:p>
    <w:p w:rsidR="00A15F8D" w:rsidRDefault="00A15F8D" w:rsidP="0058221B">
      <w:pPr>
        <w:ind w:firstLine="709"/>
        <w:jc w:val="both"/>
        <w:rPr>
          <w:sz w:val="28"/>
          <w:szCs w:val="28"/>
        </w:rPr>
      </w:pPr>
    </w:p>
    <w:p w:rsidR="0060401A" w:rsidRDefault="0060401A" w:rsidP="0060401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47.</w:t>
      </w:r>
    </w:p>
    <w:p w:rsidR="0058221B" w:rsidRPr="0058221B" w:rsidRDefault="0058221B" w:rsidP="0058221B">
      <w:pPr>
        <w:shd w:val="clear" w:color="auto" w:fill="FFFFFF"/>
        <w:jc w:val="center"/>
      </w:pPr>
      <w:r>
        <w:rPr>
          <w:rFonts w:ascii="yandex-sans" w:hAnsi="yandex-sans"/>
          <w:color w:val="000000"/>
          <w:sz w:val="23"/>
          <w:szCs w:val="23"/>
        </w:rPr>
        <w:t>Изменение числа конкурентов бизнеса</w:t>
      </w:r>
      <w:r w:rsidRPr="00565274">
        <w:rPr>
          <w:color w:val="000000"/>
        </w:rPr>
        <w:t xml:space="preserve"> </w:t>
      </w:r>
      <w:proofErr w:type="gramStart"/>
      <w:r w:rsidRPr="00565274">
        <w:rPr>
          <w:color w:val="000000"/>
        </w:rPr>
        <w:t>за</w:t>
      </w:r>
      <w:proofErr w:type="gramEnd"/>
      <w:r w:rsidRPr="00565274">
        <w:rPr>
          <w:color w:val="000000"/>
        </w:rPr>
        <w:t xml:space="preserve"> последние 3 года</w:t>
      </w:r>
      <w:r w:rsidRPr="00565274">
        <w:t>, % опрошенных</w:t>
      </w:r>
    </w:p>
    <w:p w:rsidR="0011040B" w:rsidRDefault="0060401A" w:rsidP="00D40CA2">
      <w:pPr>
        <w:jc w:val="both"/>
        <w:rPr>
          <w:sz w:val="28"/>
          <w:szCs w:val="28"/>
        </w:rPr>
      </w:pPr>
      <w:r w:rsidRPr="0060401A">
        <w:rPr>
          <w:noProof/>
          <w:sz w:val="28"/>
          <w:szCs w:val="28"/>
        </w:rPr>
        <w:drawing>
          <wp:inline distT="0" distB="0" distL="0" distR="0">
            <wp:extent cx="5686425" cy="2076450"/>
            <wp:effectExtent l="0" t="0" r="0" b="0"/>
            <wp:docPr id="5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E242FD" w:rsidRDefault="00E242FD" w:rsidP="00E242FD">
      <w:pPr>
        <w:pStyle w:val="a7"/>
        <w:ind w:left="0"/>
        <w:rPr>
          <w:b/>
          <w:sz w:val="28"/>
          <w:szCs w:val="28"/>
        </w:rPr>
      </w:pPr>
    </w:p>
    <w:p w:rsidR="00E242FD" w:rsidRPr="00CD4042" w:rsidRDefault="00DA42EB" w:rsidP="00E242FD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оценки административных барьеров при ведении предпринимательской деятельности в сравнении с прошлым годом по направлениям деятельности.</w:t>
      </w:r>
    </w:p>
    <w:p w:rsidR="00E242FD" w:rsidRDefault="00E242FD" w:rsidP="00EC30C6">
      <w:pPr>
        <w:ind w:firstLine="709"/>
        <w:jc w:val="both"/>
        <w:rPr>
          <w:sz w:val="28"/>
          <w:szCs w:val="28"/>
        </w:rPr>
      </w:pPr>
      <w:r w:rsidRPr="00E242FD">
        <w:rPr>
          <w:sz w:val="28"/>
          <w:szCs w:val="28"/>
        </w:rPr>
        <w:t>Одним из основных негативных факторов, препятствующих развитию конкуренции, являются административные барьеры, снижающие стимулы входа на рынки новых участников, повышающие непроизводственные издержки</w:t>
      </w:r>
      <w:r>
        <w:rPr>
          <w:sz w:val="28"/>
          <w:szCs w:val="28"/>
        </w:rPr>
        <w:t>.</w:t>
      </w:r>
      <w:r w:rsidRPr="00E242FD">
        <w:rPr>
          <w:sz w:val="28"/>
          <w:szCs w:val="28"/>
        </w:rPr>
        <w:t xml:space="preserve"> Поэтому важным</w:t>
      </w:r>
      <w:r>
        <w:rPr>
          <w:sz w:val="28"/>
          <w:szCs w:val="28"/>
        </w:rPr>
        <w:t xml:space="preserve"> </w:t>
      </w:r>
      <w:r w:rsidRPr="00E242FD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</w:t>
      </w:r>
      <w:r w:rsidRPr="00E242FD">
        <w:rPr>
          <w:sz w:val="28"/>
          <w:szCs w:val="28"/>
        </w:rPr>
        <w:t>исследования является оценка субъектами предпринимательской деятельности административных барьеров, присутствующих на рынках.</w:t>
      </w:r>
    </w:p>
    <w:p w:rsidR="0001749E" w:rsidRPr="002921EC" w:rsidRDefault="0001749E" w:rsidP="000174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921EC">
        <w:rPr>
          <w:color w:val="000000"/>
          <w:sz w:val="28"/>
          <w:szCs w:val="28"/>
        </w:rPr>
        <w:t xml:space="preserve">Наиболее серьезными административными барьерами для ведения текущей деятельности или открытия нового бизнеса предприниматели по- </w:t>
      </w:r>
      <w:proofErr w:type="gramStart"/>
      <w:r w:rsidRPr="002921EC">
        <w:rPr>
          <w:color w:val="000000"/>
          <w:sz w:val="28"/>
          <w:szCs w:val="28"/>
        </w:rPr>
        <w:t>прежнему</w:t>
      </w:r>
      <w:proofErr w:type="gramEnd"/>
      <w:r w:rsidRPr="002921EC">
        <w:rPr>
          <w:color w:val="000000"/>
          <w:sz w:val="28"/>
          <w:szCs w:val="28"/>
        </w:rPr>
        <w:t xml:space="preserve">, как и год назад </w:t>
      </w:r>
      <w:r>
        <w:rPr>
          <w:color w:val="000000"/>
          <w:sz w:val="28"/>
          <w:szCs w:val="28"/>
        </w:rPr>
        <w:t>считают</w:t>
      </w:r>
      <w:r w:rsidRPr="002921EC">
        <w:rPr>
          <w:color w:val="000000"/>
          <w:sz w:val="28"/>
          <w:szCs w:val="28"/>
        </w:rPr>
        <w:t>:</w:t>
      </w:r>
    </w:p>
    <w:p w:rsidR="0001749E" w:rsidRDefault="0001749E" w:rsidP="000174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110">
        <w:rPr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  <w:r w:rsidR="0055362C">
        <w:rPr>
          <w:sz w:val="28"/>
          <w:szCs w:val="28"/>
        </w:rPr>
        <w:t xml:space="preserve"> </w:t>
      </w:r>
      <w:r w:rsidR="00E934B3">
        <w:rPr>
          <w:sz w:val="28"/>
          <w:szCs w:val="28"/>
        </w:rPr>
        <w:t>–</w:t>
      </w:r>
      <w:r w:rsidRPr="009C6110">
        <w:rPr>
          <w:sz w:val="28"/>
          <w:szCs w:val="28"/>
        </w:rPr>
        <w:t xml:space="preserve"> </w:t>
      </w:r>
      <w:r w:rsidR="00432AB5">
        <w:rPr>
          <w:sz w:val="28"/>
          <w:szCs w:val="28"/>
        </w:rPr>
        <w:t>19,6</w:t>
      </w:r>
      <w:r>
        <w:rPr>
          <w:sz w:val="28"/>
          <w:szCs w:val="28"/>
        </w:rPr>
        <w:t xml:space="preserve"> </w:t>
      </w:r>
      <w:r w:rsidRPr="009C6110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934B3">
        <w:rPr>
          <w:color w:val="000000"/>
          <w:sz w:val="28"/>
          <w:szCs w:val="28"/>
        </w:rPr>
        <w:t>(в 202</w:t>
      </w:r>
      <w:r w:rsidR="008A3B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</w:t>
      </w:r>
      <w:r w:rsidR="00E934B3">
        <w:rPr>
          <w:color w:val="000000"/>
          <w:sz w:val="28"/>
          <w:szCs w:val="28"/>
        </w:rPr>
        <w:t xml:space="preserve">– </w:t>
      </w:r>
      <w:r w:rsidR="008A3B43">
        <w:rPr>
          <w:color w:val="000000"/>
          <w:sz w:val="28"/>
          <w:szCs w:val="28"/>
        </w:rPr>
        <w:t>20,8</w:t>
      </w:r>
      <w:r>
        <w:rPr>
          <w:color w:val="000000"/>
          <w:sz w:val="28"/>
          <w:szCs w:val="28"/>
        </w:rPr>
        <w:t xml:space="preserve"> %); </w:t>
      </w:r>
    </w:p>
    <w:p w:rsidR="00432AB5" w:rsidRDefault="00432AB5" w:rsidP="00432A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B074D">
        <w:rPr>
          <w:sz w:val="28"/>
          <w:szCs w:val="28"/>
        </w:rPr>
        <w:t>ложность получения доступа к земельным участкам</w:t>
      </w:r>
      <w:r>
        <w:rPr>
          <w:sz w:val="28"/>
          <w:szCs w:val="28"/>
        </w:rPr>
        <w:t xml:space="preserve"> – 12,5 % (в 2022</w:t>
      </w:r>
      <w:r w:rsidRPr="0001749E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10,4</w:t>
      </w:r>
      <w:r w:rsidRPr="0001749E">
        <w:rPr>
          <w:sz w:val="28"/>
          <w:szCs w:val="28"/>
        </w:rPr>
        <w:t xml:space="preserve"> %)</w:t>
      </w:r>
      <w:r>
        <w:rPr>
          <w:sz w:val="28"/>
          <w:szCs w:val="28"/>
        </w:rPr>
        <w:t>;</w:t>
      </w:r>
    </w:p>
    <w:p w:rsidR="0001749E" w:rsidRDefault="0001749E" w:rsidP="0001749E">
      <w:pPr>
        <w:shd w:val="clear" w:color="auto" w:fill="FFFFFF"/>
        <w:ind w:firstLine="709"/>
        <w:jc w:val="both"/>
        <w:rPr>
          <w:sz w:val="28"/>
          <w:szCs w:val="28"/>
        </w:rPr>
      </w:pPr>
      <w:r w:rsidRPr="009C6110">
        <w:rPr>
          <w:color w:val="000000"/>
          <w:sz w:val="28"/>
          <w:szCs w:val="28"/>
        </w:rPr>
        <w:t>высокие налоги</w:t>
      </w:r>
      <w:r>
        <w:rPr>
          <w:color w:val="000000"/>
          <w:sz w:val="28"/>
          <w:szCs w:val="28"/>
        </w:rPr>
        <w:t xml:space="preserve"> </w:t>
      </w:r>
      <w:r w:rsidR="00E934B3">
        <w:rPr>
          <w:color w:val="000000"/>
          <w:sz w:val="28"/>
          <w:szCs w:val="28"/>
        </w:rPr>
        <w:t>–</w:t>
      </w:r>
      <w:r w:rsidR="0055362C">
        <w:rPr>
          <w:color w:val="000000"/>
          <w:sz w:val="28"/>
          <w:szCs w:val="28"/>
        </w:rPr>
        <w:t xml:space="preserve"> </w:t>
      </w:r>
      <w:r w:rsidR="00432AB5">
        <w:rPr>
          <w:color w:val="000000"/>
          <w:sz w:val="28"/>
          <w:szCs w:val="28"/>
        </w:rPr>
        <w:t>28,6</w:t>
      </w:r>
      <w:r w:rsidR="00E934B3">
        <w:rPr>
          <w:color w:val="000000"/>
          <w:sz w:val="28"/>
          <w:szCs w:val="28"/>
        </w:rPr>
        <w:t xml:space="preserve"> % (в 202</w:t>
      </w:r>
      <w:r w:rsidR="008A3B43">
        <w:rPr>
          <w:color w:val="000000"/>
          <w:sz w:val="28"/>
          <w:szCs w:val="28"/>
        </w:rPr>
        <w:t>2</w:t>
      </w:r>
      <w:r w:rsidRPr="0001749E">
        <w:rPr>
          <w:color w:val="000000"/>
          <w:sz w:val="28"/>
          <w:szCs w:val="28"/>
        </w:rPr>
        <w:t xml:space="preserve"> году </w:t>
      </w:r>
      <w:r w:rsidR="00E934B3">
        <w:rPr>
          <w:color w:val="000000"/>
          <w:sz w:val="28"/>
          <w:szCs w:val="28"/>
        </w:rPr>
        <w:t xml:space="preserve">– </w:t>
      </w:r>
      <w:r w:rsidR="008A3B43">
        <w:rPr>
          <w:color w:val="000000"/>
          <w:sz w:val="28"/>
          <w:szCs w:val="28"/>
        </w:rPr>
        <w:t>29,2</w:t>
      </w:r>
      <w:r w:rsidRPr="0001749E">
        <w:rPr>
          <w:color w:val="000000"/>
          <w:sz w:val="28"/>
          <w:szCs w:val="28"/>
        </w:rPr>
        <w:t xml:space="preserve"> %),</w:t>
      </w:r>
      <w:r w:rsidRPr="0001749E">
        <w:rPr>
          <w:sz w:val="28"/>
          <w:szCs w:val="28"/>
        </w:rPr>
        <w:t xml:space="preserve"> </w:t>
      </w:r>
    </w:p>
    <w:p w:rsidR="0001749E" w:rsidRDefault="0001749E" w:rsidP="000174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6110">
        <w:rPr>
          <w:sz w:val="28"/>
          <w:szCs w:val="28"/>
        </w:rPr>
        <w:t>ложность/</w:t>
      </w:r>
      <w:proofErr w:type="spellStart"/>
      <w:r w:rsidRPr="009C6110">
        <w:rPr>
          <w:sz w:val="28"/>
          <w:szCs w:val="28"/>
        </w:rPr>
        <w:t>затянутость</w:t>
      </w:r>
      <w:proofErr w:type="spellEnd"/>
      <w:r w:rsidRPr="009C6110">
        <w:rPr>
          <w:sz w:val="28"/>
          <w:szCs w:val="28"/>
        </w:rPr>
        <w:t xml:space="preserve"> процедуры получения лицензий</w:t>
      </w:r>
      <w:r>
        <w:rPr>
          <w:sz w:val="28"/>
          <w:szCs w:val="28"/>
        </w:rPr>
        <w:t xml:space="preserve"> </w:t>
      </w:r>
      <w:r w:rsidR="00E934B3">
        <w:rPr>
          <w:sz w:val="28"/>
          <w:szCs w:val="28"/>
        </w:rPr>
        <w:t>–</w:t>
      </w:r>
      <w:r w:rsidR="0055362C">
        <w:rPr>
          <w:sz w:val="28"/>
          <w:szCs w:val="28"/>
        </w:rPr>
        <w:t xml:space="preserve"> </w:t>
      </w:r>
      <w:r w:rsidR="00432AB5">
        <w:rPr>
          <w:sz w:val="28"/>
          <w:szCs w:val="28"/>
        </w:rPr>
        <w:t>14,3</w:t>
      </w:r>
      <w:r w:rsidR="00E934B3">
        <w:rPr>
          <w:sz w:val="28"/>
          <w:szCs w:val="28"/>
        </w:rPr>
        <w:t xml:space="preserve"> % (в 202</w:t>
      </w:r>
      <w:r w:rsidR="008A3B43">
        <w:rPr>
          <w:sz w:val="28"/>
          <w:szCs w:val="28"/>
        </w:rPr>
        <w:t>2</w:t>
      </w:r>
      <w:r w:rsidRPr="0001749E">
        <w:rPr>
          <w:sz w:val="28"/>
          <w:szCs w:val="28"/>
        </w:rPr>
        <w:t xml:space="preserve"> году </w:t>
      </w:r>
      <w:r w:rsidR="00E934B3">
        <w:rPr>
          <w:sz w:val="28"/>
          <w:szCs w:val="28"/>
        </w:rPr>
        <w:t xml:space="preserve">– </w:t>
      </w:r>
      <w:r w:rsidR="008A3B43">
        <w:rPr>
          <w:sz w:val="28"/>
          <w:szCs w:val="28"/>
        </w:rPr>
        <w:t>10,4</w:t>
      </w:r>
      <w:r w:rsidRPr="0001749E">
        <w:rPr>
          <w:sz w:val="28"/>
          <w:szCs w:val="28"/>
        </w:rPr>
        <w:t xml:space="preserve"> %)</w:t>
      </w:r>
      <w:r>
        <w:rPr>
          <w:sz w:val="28"/>
          <w:szCs w:val="28"/>
        </w:rPr>
        <w:t>;</w:t>
      </w:r>
    </w:p>
    <w:p w:rsidR="0055362C" w:rsidRPr="0055362C" w:rsidRDefault="0055362C" w:rsidP="005536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C6110">
        <w:rPr>
          <w:sz w:val="28"/>
          <w:szCs w:val="28"/>
        </w:rPr>
        <w:t xml:space="preserve">граничение/сложность доступа к поставкам товаров, оказанию услуг и выполнению работ в рамках </w:t>
      </w:r>
      <w:proofErr w:type="spellStart"/>
      <w:r w:rsidRPr="009C6110">
        <w:rPr>
          <w:sz w:val="28"/>
          <w:szCs w:val="28"/>
        </w:rPr>
        <w:t>госзакупок</w:t>
      </w:r>
      <w:proofErr w:type="spellEnd"/>
      <w:r w:rsidR="00F37381">
        <w:rPr>
          <w:sz w:val="28"/>
          <w:szCs w:val="28"/>
        </w:rPr>
        <w:t xml:space="preserve"> – </w:t>
      </w:r>
      <w:r w:rsidR="00432AB5">
        <w:rPr>
          <w:sz w:val="28"/>
          <w:szCs w:val="28"/>
        </w:rPr>
        <w:t>14,3</w:t>
      </w:r>
      <w:r w:rsidR="00F37381">
        <w:rPr>
          <w:sz w:val="28"/>
          <w:szCs w:val="28"/>
        </w:rPr>
        <w:t xml:space="preserve"> % (в 202</w:t>
      </w:r>
      <w:r w:rsidR="008A3B43">
        <w:rPr>
          <w:sz w:val="28"/>
          <w:szCs w:val="28"/>
        </w:rPr>
        <w:t>2</w:t>
      </w:r>
      <w:r w:rsidRPr="0055362C">
        <w:rPr>
          <w:sz w:val="28"/>
          <w:szCs w:val="28"/>
        </w:rPr>
        <w:t xml:space="preserve"> году </w:t>
      </w:r>
      <w:r w:rsidR="00F37381">
        <w:rPr>
          <w:sz w:val="28"/>
          <w:szCs w:val="28"/>
        </w:rPr>
        <w:t xml:space="preserve">– </w:t>
      </w:r>
      <w:r w:rsidR="008A3B43">
        <w:rPr>
          <w:sz w:val="28"/>
          <w:szCs w:val="28"/>
        </w:rPr>
        <w:t>16,7</w:t>
      </w:r>
      <w:r w:rsidRPr="0055362C">
        <w:rPr>
          <w:sz w:val="28"/>
          <w:szCs w:val="28"/>
        </w:rPr>
        <w:t xml:space="preserve"> %);</w:t>
      </w:r>
    </w:p>
    <w:p w:rsidR="0055362C" w:rsidRDefault="0055362C" w:rsidP="005536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C6110">
        <w:rPr>
          <w:sz w:val="28"/>
          <w:szCs w:val="28"/>
        </w:rPr>
        <w:t xml:space="preserve">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</w:t>
      </w:r>
      <w:r w:rsidR="00432AB5">
        <w:rPr>
          <w:color w:val="000000"/>
          <w:sz w:val="28"/>
          <w:szCs w:val="28"/>
        </w:rPr>
        <w:t>–</w:t>
      </w:r>
      <w:r w:rsidRPr="009C6110">
        <w:rPr>
          <w:color w:val="000000"/>
          <w:sz w:val="28"/>
          <w:szCs w:val="28"/>
        </w:rPr>
        <w:t xml:space="preserve"> </w:t>
      </w:r>
      <w:r w:rsidR="00432AB5">
        <w:rPr>
          <w:sz w:val="28"/>
          <w:szCs w:val="28"/>
        </w:rPr>
        <w:t>5,4</w:t>
      </w:r>
      <w:r w:rsidRPr="0055362C">
        <w:rPr>
          <w:sz w:val="28"/>
          <w:szCs w:val="28"/>
        </w:rPr>
        <w:t xml:space="preserve"> % (в 202</w:t>
      </w:r>
      <w:r w:rsidR="008A3B43">
        <w:rPr>
          <w:sz w:val="28"/>
          <w:szCs w:val="28"/>
        </w:rPr>
        <w:t>2</w:t>
      </w:r>
      <w:r w:rsidRPr="0055362C">
        <w:rPr>
          <w:sz w:val="28"/>
          <w:szCs w:val="28"/>
        </w:rPr>
        <w:t xml:space="preserve"> году </w:t>
      </w:r>
      <w:r w:rsidR="008A3B43">
        <w:rPr>
          <w:sz w:val="28"/>
          <w:szCs w:val="28"/>
        </w:rPr>
        <w:t>–</w:t>
      </w:r>
      <w:r w:rsidRPr="0055362C">
        <w:rPr>
          <w:sz w:val="28"/>
          <w:szCs w:val="28"/>
        </w:rPr>
        <w:t xml:space="preserve"> </w:t>
      </w:r>
      <w:r w:rsidR="008A3B43">
        <w:rPr>
          <w:sz w:val="28"/>
          <w:szCs w:val="28"/>
        </w:rPr>
        <w:t>5,0</w:t>
      </w:r>
      <w:r w:rsidRPr="0055362C">
        <w:rPr>
          <w:sz w:val="28"/>
          <w:szCs w:val="28"/>
        </w:rPr>
        <w:t xml:space="preserve"> %);</w:t>
      </w:r>
    </w:p>
    <w:p w:rsidR="0055362C" w:rsidRDefault="0055362C" w:rsidP="0055362C">
      <w:pPr>
        <w:shd w:val="clear" w:color="auto" w:fill="FFFFFF"/>
        <w:ind w:firstLine="709"/>
        <w:jc w:val="both"/>
        <w:rPr>
          <w:sz w:val="28"/>
          <w:szCs w:val="28"/>
        </w:rPr>
      </w:pPr>
      <w:r w:rsidRPr="009C6110">
        <w:rPr>
          <w:sz w:val="28"/>
          <w:szCs w:val="28"/>
        </w:rPr>
        <w:t xml:space="preserve"> </w:t>
      </w:r>
      <w:r w:rsidR="0001749E" w:rsidRPr="009C6110">
        <w:rPr>
          <w:sz w:val="28"/>
          <w:szCs w:val="28"/>
        </w:rPr>
        <w:t xml:space="preserve">коррупция (включая взятки, дискриминацию и предоставление преференций отдельным участникам на заведомо неравных условиях) </w:t>
      </w:r>
      <w:r w:rsidR="00F37381">
        <w:rPr>
          <w:sz w:val="28"/>
          <w:szCs w:val="28"/>
        </w:rPr>
        <w:t xml:space="preserve">– </w:t>
      </w:r>
      <w:r w:rsidR="00432AB5">
        <w:rPr>
          <w:sz w:val="28"/>
          <w:szCs w:val="28"/>
        </w:rPr>
        <w:t>1,8</w:t>
      </w:r>
      <w:r w:rsidR="00F37381">
        <w:rPr>
          <w:sz w:val="28"/>
          <w:szCs w:val="28"/>
        </w:rPr>
        <w:t xml:space="preserve"> % (в 202</w:t>
      </w:r>
      <w:r w:rsidR="008A3B43">
        <w:rPr>
          <w:sz w:val="28"/>
          <w:szCs w:val="28"/>
        </w:rPr>
        <w:t>2</w:t>
      </w:r>
      <w:r w:rsidRPr="0055362C">
        <w:rPr>
          <w:sz w:val="28"/>
          <w:szCs w:val="28"/>
        </w:rPr>
        <w:t xml:space="preserve"> году </w:t>
      </w:r>
      <w:r w:rsidR="00F37381">
        <w:rPr>
          <w:sz w:val="28"/>
          <w:szCs w:val="28"/>
        </w:rPr>
        <w:t xml:space="preserve">– </w:t>
      </w:r>
      <w:r w:rsidR="008A3B43">
        <w:rPr>
          <w:sz w:val="28"/>
          <w:szCs w:val="28"/>
        </w:rPr>
        <w:t>6,3</w:t>
      </w:r>
      <w:r w:rsidRPr="0055362C">
        <w:rPr>
          <w:sz w:val="28"/>
          <w:szCs w:val="28"/>
        </w:rPr>
        <w:t xml:space="preserve"> %)</w:t>
      </w:r>
      <w:r>
        <w:rPr>
          <w:sz w:val="28"/>
          <w:szCs w:val="28"/>
        </w:rPr>
        <w:t>;</w:t>
      </w:r>
    </w:p>
    <w:p w:rsidR="0055362C" w:rsidRDefault="0055362C" w:rsidP="005536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5362C">
        <w:rPr>
          <w:sz w:val="28"/>
          <w:szCs w:val="28"/>
        </w:rPr>
        <w:t>ные действия/ давление со стороны органов власти, препятствующие ведению бизнеса на рынке или входу на рынок новых участников</w:t>
      </w:r>
      <w:r>
        <w:rPr>
          <w:sz w:val="28"/>
          <w:szCs w:val="28"/>
        </w:rPr>
        <w:t xml:space="preserve"> –</w:t>
      </w:r>
      <w:r w:rsidRPr="0055362C">
        <w:rPr>
          <w:sz w:val="28"/>
          <w:szCs w:val="28"/>
        </w:rPr>
        <w:t xml:space="preserve"> </w:t>
      </w:r>
      <w:r w:rsidR="00432AB5">
        <w:rPr>
          <w:sz w:val="28"/>
          <w:szCs w:val="28"/>
        </w:rPr>
        <w:t>1,8</w:t>
      </w:r>
      <w:r w:rsidR="00F37381">
        <w:rPr>
          <w:sz w:val="28"/>
          <w:szCs w:val="28"/>
        </w:rPr>
        <w:t xml:space="preserve"> % (в 202</w:t>
      </w:r>
      <w:r w:rsidR="008A3B43">
        <w:rPr>
          <w:sz w:val="28"/>
          <w:szCs w:val="28"/>
        </w:rPr>
        <w:t>2</w:t>
      </w:r>
      <w:r w:rsidRPr="0055362C">
        <w:rPr>
          <w:sz w:val="28"/>
          <w:szCs w:val="28"/>
        </w:rPr>
        <w:t xml:space="preserve"> году </w:t>
      </w:r>
      <w:r w:rsidR="00F37381">
        <w:rPr>
          <w:sz w:val="28"/>
          <w:szCs w:val="28"/>
        </w:rPr>
        <w:t>– 2,</w:t>
      </w:r>
      <w:r w:rsidR="008A3B43">
        <w:rPr>
          <w:sz w:val="28"/>
          <w:szCs w:val="28"/>
        </w:rPr>
        <w:t>1</w:t>
      </w:r>
      <w:r w:rsidRPr="0055362C">
        <w:rPr>
          <w:sz w:val="28"/>
          <w:szCs w:val="28"/>
        </w:rPr>
        <w:t xml:space="preserve"> %);</w:t>
      </w:r>
    </w:p>
    <w:p w:rsidR="0055362C" w:rsidRPr="0055362C" w:rsidRDefault="0055362C" w:rsidP="00A070C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ограничений </w:t>
      </w:r>
      <w:r w:rsidR="00432AB5">
        <w:rPr>
          <w:sz w:val="28"/>
          <w:szCs w:val="28"/>
        </w:rPr>
        <w:t>–</w:t>
      </w:r>
      <w:r w:rsidRPr="0055362C">
        <w:rPr>
          <w:sz w:val="28"/>
          <w:szCs w:val="28"/>
        </w:rPr>
        <w:t xml:space="preserve"> </w:t>
      </w:r>
      <w:r w:rsidR="00432AB5">
        <w:rPr>
          <w:sz w:val="28"/>
          <w:szCs w:val="28"/>
        </w:rPr>
        <w:t>1,8</w:t>
      </w:r>
      <w:r w:rsidR="00F37381">
        <w:rPr>
          <w:sz w:val="28"/>
          <w:szCs w:val="28"/>
        </w:rPr>
        <w:t xml:space="preserve"> % (в 202</w:t>
      </w:r>
      <w:r w:rsidR="008A3B43">
        <w:rPr>
          <w:sz w:val="28"/>
          <w:szCs w:val="28"/>
        </w:rPr>
        <w:t>2</w:t>
      </w:r>
      <w:r w:rsidRPr="0055362C">
        <w:rPr>
          <w:sz w:val="28"/>
          <w:szCs w:val="28"/>
        </w:rPr>
        <w:t xml:space="preserve"> году </w:t>
      </w:r>
      <w:r w:rsidR="00F37381">
        <w:rPr>
          <w:sz w:val="28"/>
          <w:szCs w:val="28"/>
        </w:rPr>
        <w:t>– 2,</w:t>
      </w:r>
      <w:r w:rsidR="008A3B43">
        <w:rPr>
          <w:sz w:val="28"/>
          <w:szCs w:val="28"/>
        </w:rPr>
        <w:t>1</w:t>
      </w:r>
      <w:r w:rsidRPr="0055362C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</w:p>
    <w:p w:rsidR="00E242FD" w:rsidRPr="00CD4042" w:rsidRDefault="00A070C4" w:rsidP="00CD40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5CA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2E35CA">
        <w:rPr>
          <w:color w:val="000000"/>
          <w:sz w:val="28"/>
          <w:szCs w:val="28"/>
        </w:rPr>
        <w:t>касается</w:t>
      </w:r>
      <w:r>
        <w:rPr>
          <w:color w:val="000000"/>
          <w:sz w:val="28"/>
          <w:szCs w:val="28"/>
        </w:rPr>
        <w:t xml:space="preserve"> </w:t>
      </w:r>
      <w:r w:rsidRPr="002E35CA">
        <w:rPr>
          <w:color w:val="000000"/>
          <w:sz w:val="28"/>
          <w:szCs w:val="28"/>
        </w:rPr>
        <w:t>оценки</w:t>
      </w:r>
      <w:r>
        <w:rPr>
          <w:color w:val="000000"/>
          <w:sz w:val="28"/>
          <w:szCs w:val="28"/>
        </w:rPr>
        <w:t xml:space="preserve"> </w:t>
      </w:r>
      <w:r w:rsidRPr="002E35CA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2E35CA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2E35CA">
        <w:rPr>
          <w:color w:val="000000"/>
          <w:sz w:val="28"/>
          <w:szCs w:val="28"/>
        </w:rPr>
        <w:t>власти</w:t>
      </w:r>
      <w:r>
        <w:rPr>
          <w:color w:val="000000"/>
          <w:sz w:val="28"/>
          <w:szCs w:val="28"/>
        </w:rPr>
        <w:t xml:space="preserve"> на рынке</w:t>
      </w:r>
      <w:r w:rsidRPr="002E35CA">
        <w:rPr>
          <w:color w:val="000000"/>
          <w:sz w:val="28"/>
          <w:szCs w:val="28"/>
        </w:rPr>
        <w:t xml:space="preserve">, по мнению </w:t>
      </w:r>
      <w:proofErr w:type="gramStart"/>
      <w:r>
        <w:rPr>
          <w:sz w:val="28"/>
          <w:szCs w:val="28"/>
        </w:rPr>
        <w:t>бизнеса</w:t>
      </w:r>
      <w:proofErr w:type="gramEnd"/>
      <w:r>
        <w:rPr>
          <w:sz w:val="28"/>
          <w:szCs w:val="28"/>
        </w:rPr>
        <w:t xml:space="preserve"> стало проще преодолевать административные барьеры, так</w:t>
      </w:r>
      <w:r w:rsidR="00F37381">
        <w:rPr>
          <w:color w:val="000000"/>
          <w:sz w:val="28"/>
          <w:szCs w:val="28"/>
        </w:rPr>
        <w:t xml:space="preserve"> </w:t>
      </w:r>
      <w:r w:rsidR="00432AB5">
        <w:rPr>
          <w:color w:val="000000"/>
          <w:sz w:val="28"/>
          <w:szCs w:val="28"/>
        </w:rPr>
        <w:t>73,2</w:t>
      </w:r>
      <w:r>
        <w:rPr>
          <w:color w:val="000000"/>
          <w:sz w:val="28"/>
          <w:szCs w:val="28"/>
        </w:rPr>
        <w:t xml:space="preserve"> </w:t>
      </w:r>
      <w:r w:rsidRPr="002E35CA">
        <w:rPr>
          <w:color w:val="000000"/>
          <w:sz w:val="28"/>
          <w:szCs w:val="28"/>
        </w:rPr>
        <w:t>%</w:t>
      </w:r>
      <w:r w:rsidR="00F37381">
        <w:rPr>
          <w:color w:val="000000"/>
          <w:sz w:val="28"/>
          <w:szCs w:val="28"/>
        </w:rPr>
        <w:t xml:space="preserve"> (в 202</w:t>
      </w:r>
      <w:r w:rsidR="008A3B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</w:t>
      </w:r>
      <w:r w:rsidR="00F3738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37381">
        <w:rPr>
          <w:color w:val="000000"/>
          <w:sz w:val="28"/>
          <w:szCs w:val="28"/>
        </w:rPr>
        <w:t>70,</w:t>
      </w:r>
      <w:r w:rsidR="008A3B4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%) опрошенных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C27297">
        <w:rPr>
          <w:sz w:val="28"/>
          <w:szCs w:val="28"/>
        </w:rPr>
        <w:t xml:space="preserve">различной степени </w:t>
      </w:r>
      <w:r>
        <w:rPr>
          <w:color w:val="000000"/>
          <w:sz w:val="28"/>
          <w:szCs w:val="28"/>
        </w:rPr>
        <w:t>удовлетво</w:t>
      </w:r>
      <w:r w:rsidRPr="002E35CA">
        <w:rPr>
          <w:color w:val="000000"/>
          <w:sz w:val="28"/>
          <w:szCs w:val="28"/>
        </w:rPr>
        <w:t>рены</w:t>
      </w:r>
      <w:r>
        <w:rPr>
          <w:color w:val="000000"/>
          <w:sz w:val="28"/>
          <w:szCs w:val="28"/>
        </w:rPr>
        <w:t xml:space="preserve"> деятельностью органов власт</w:t>
      </w:r>
      <w:r w:rsidR="00CD4042">
        <w:rPr>
          <w:color w:val="000000"/>
          <w:sz w:val="28"/>
          <w:szCs w:val="28"/>
        </w:rPr>
        <w:t xml:space="preserve">и, </w:t>
      </w:r>
      <w:r w:rsidR="00432AB5">
        <w:rPr>
          <w:color w:val="000000"/>
          <w:sz w:val="28"/>
          <w:szCs w:val="28"/>
        </w:rPr>
        <w:t>21,4</w:t>
      </w:r>
      <w:r>
        <w:rPr>
          <w:color w:val="000000"/>
          <w:sz w:val="28"/>
          <w:szCs w:val="28"/>
        </w:rPr>
        <w:t xml:space="preserve"> </w:t>
      </w:r>
      <w:r w:rsidRPr="002E35CA">
        <w:rPr>
          <w:color w:val="000000"/>
          <w:sz w:val="28"/>
          <w:szCs w:val="28"/>
        </w:rPr>
        <w:t xml:space="preserve">% </w:t>
      </w:r>
      <w:r w:rsidR="00F37381">
        <w:rPr>
          <w:color w:val="000000"/>
          <w:sz w:val="28"/>
          <w:szCs w:val="28"/>
        </w:rPr>
        <w:t>(в 202</w:t>
      </w:r>
      <w:r w:rsidR="008A3B43">
        <w:rPr>
          <w:color w:val="000000"/>
          <w:sz w:val="28"/>
          <w:szCs w:val="28"/>
        </w:rPr>
        <w:t>2</w:t>
      </w:r>
      <w:r w:rsidR="00F37381">
        <w:rPr>
          <w:color w:val="000000"/>
          <w:sz w:val="28"/>
          <w:szCs w:val="28"/>
        </w:rPr>
        <w:t xml:space="preserve"> году – </w:t>
      </w:r>
      <w:r w:rsidR="008A3B43">
        <w:rPr>
          <w:color w:val="000000"/>
          <w:sz w:val="28"/>
          <w:szCs w:val="28"/>
        </w:rPr>
        <w:t>25,0</w:t>
      </w:r>
      <w:r w:rsidRPr="00A070C4">
        <w:rPr>
          <w:color w:val="000000"/>
          <w:sz w:val="28"/>
          <w:szCs w:val="28"/>
        </w:rPr>
        <w:t xml:space="preserve"> %) </w:t>
      </w:r>
      <w:r w:rsidRPr="007D3C08">
        <w:rPr>
          <w:sz w:val="28"/>
          <w:szCs w:val="28"/>
        </w:rPr>
        <w:t>респондентов</w:t>
      </w:r>
      <w:r>
        <w:rPr>
          <w:color w:val="000000"/>
          <w:sz w:val="28"/>
          <w:szCs w:val="28"/>
        </w:rPr>
        <w:t xml:space="preserve"> в </w:t>
      </w:r>
      <w:r w:rsidRPr="00C27297">
        <w:rPr>
          <w:sz w:val="28"/>
          <w:szCs w:val="28"/>
        </w:rPr>
        <w:t xml:space="preserve">различной степени </w:t>
      </w:r>
      <w:r>
        <w:rPr>
          <w:color w:val="000000"/>
          <w:sz w:val="28"/>
          <w:szCs w:val="28"/>
        </w:rPr>
        <w:t>не удовлетворены деятельностью органов власти</w:t>
      </w:r>
      <w:r w:rsidR="00CD4042">
        <w:rPr>
          <w:color w:val="000000"/>
          <w:sz w:val="28"/>
          <w:szCs w:val="28"/>
        </w:rPr>
        <w:t xml:space="preserve">, </w:t>
      </w:r>
      <w:r w:rsidR="00432AB5">
        <w:rPr>
          <w:sz w:val="28"/>
          <w:szCs w:val="28"/>
        </w:rPr>
        <w:t xml:space="preserve">5,4 </w:t>
      </w:r>
      <w:r>
        <w:rPr>
          <w:sz w:val="28"/>
          <w:szCs w:val="28"/>
        </w:rPr>
        <w:t xml:space="preserve">% </w:t>
      </w:r>
      <w:r w:rsidR="00F37381">
        <w:rPr>
          <w:sz w:val="28"/>
          <w:szCs w:val="28"/>
        </w:rPr>
        <w:t>(в 202</w:t>
      </w:r>
      <w:r w:rsidR="008A3B43">
        <w:rPr>
          <w:sz w:val="28"/>
          <w:szCs w:val="28"/>
        </w:rPr>
        <w:t>2</w:t>
      </w:r>
      <w:r w:rsidRPr="00A070C4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A070C4">
        <w:rPr>
          <w:sz w:val="28"/>
          <w:szCs w:val="28"/>
        </w:rPr>
        <w:t xml:space="preserve"> </w:t>
      </w:r>
      <w:r w:rsidR="008A3B43">
        <w:rPr>
          <w:sz w:val="28"/>
          <w:szCs w:val="28"/>
        </w:rPr>
        <w:t>4,1</w:t>
      </w:r>
      <w:r w:rsidRPr="00A070C4">
        <w:rPr>
          <w:sz w:val="28"/>
          <w:szCs w:val="28"/>
        </w:rPr>
        <w:t xml:space="preserve"> %) </w:t>
      </w:r>
      <w:r w:rsidRPr="007D3C08">
        <w:rPr>
          <w:sz w:val="28"/>
          <w:szCs w:val="28"/>
        </w:rPr>
        <w:t>респондентов</w:t>
      </w:r>
      <w:r>
        <w:rPr>
          <w:sz w:val="28"/>
          <w:szCs w:val="28"/>
        </w:rPr>
        <w:t xml:space="preserve"> н</w:t>
      </w:r>
      <w:r w:rsidRPr="0081370F">
        <w:rPr>
          <w:sz w:val="28"/>
          <w:szCs w:val="28"/>
        </w:rPr>
        <w:t>е определились в своем</w:t>
      </w:r>
      <w:r>
        <w:rPr>
          <w:sz w:val="28"/>
          <w:szCs w:val="28"/>
        </w:rPr>
        <w:t xml:space="preserve"> </w:t>
      </w:r>
      <w:r w:rsidRPr="0081370F">
        <w:rPr>
          <w:sz w:val="28"/>
          <w:szCs w:val="28"/>
        </w:rPr>
        <w:t>мнении</w:t>
      </w:r>
      <w:r>
        <w:rPr>
          <w:sz w:val="28"/>
          <w:szCs w:val="28"/>
        </w:rPr>
        <w:t>.</w:t>
      </w:r>
    </w:p>
    <w:p w:rsidR="00860986" w:rsidRPr="00CD4042" w:rsidRDefault="00DA42EB" w:rsidP="00860986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информации о жалобах в контрольно-надзорны</w:t>
      </w:r>
      <w:r w:rsidR="00700243">
        <w:rPr>
          <w:b/>
          <w:sz w:val="28"/>
          <w:szCs w:val="28"/>
        </w:rPr>
        <w:t>е</w:t>
      </w:r>
      <w:r w:rsidRPr="008A7A3F">
        <w:rPr>
          <w:b/>
          <w:sz w:val="28"/>
          <w:szCs w:val="28"/>
        </w:rPr>
        <w:t xml:space="preserve"> органы в динамике с прошлым годом по направлениям деятельности.</w:t>
      </w:r>
    </w:p>
    <w:p w:rsidR="002A22E0" w:rsidRDefault="00144661" w:rsidP="00F37381">
      <w:pPr>
        <w:ind w:firstLine="709"/>
        <w:jc w:val="both"/>
        <w:rPr>
          <w:sz w:val="28"/>
          <w:szCs w:val="28"/>
        </w:rPr>
      </w:pPr>
      <w:proofErr w:type="gramStart"/>
      <w:r w:rsidRPr="00554BB7">
        <w:rPr>
          <w:sz w:val="28"/>
          <w:szCs w:val="28"/>
        </w:rPr>
        <w:t>По результатам проведенного анализа установлено, что в</w:t>
      </w:r>
      <w:r w:rsidR="00860986" w:rsidRPr="00554BB7">
        <w:rPr>
          <w:sz w:val="28"/>
          <w:szCs w:val="28"/>
        </w:rPr>
        <w:t xml:space="preserve"> </w:t>
      </w:r>
      <w:r w:rsidR="00F37381">
        <w:rPr>
          <w:sz w:val="28"/>
          <w:szCs w:val="28"/>
        </w:rPr>
        <w:t>202</w:t>
      </w:r>
      <w:r w:rsidR="008A3B43">
        <w:rPr>
          <w:sz w:val="28"/>
          <w:szCs w:val="28"/>
        </w:rPr>
        <w:t>2</w:t>
      </w:r>
      <w:r w:rsidR="00931B31">
        <w:rPr>
          <w:sz w:val="28"/>
          <w:szCs w:val="28"/>
        </w:rPr>
        <w:t xml:space="preserve"> году</w:t>
      </w:r>
      <w:r w:rsidRPr="00554BB7">
        <w:rPr>
          <w:sz w:val="28"/>
          <w:szCs w:val="28"/>
        </w:rPr>
        <w:t xml:space="preserve"> и </w:t>
      </w:r>
      <w:r w:rsidR="00F37381">
        <w:rPr>
          <w:sz w:val="28"/>
          <w:szCs w:val="28"/>
        </w:rPr>
        <w:t>202</w:t>
      </w:r>
      <w:r w:rsidR="008A3B43">
        <w:rPr>
          <w:sz w:val="28"/>
          <w:szCs w:val="28"/>
        </w:rPr>
        <w:t>3</w:t>
      </w:r>
      <w:r w:rsidR="00931B31">
        <w:rPr>
          <w:sz w:val="28"/>
          <w:szCs w:val="28"/>
        </w:rPr>
        <w:t xml:space="preserve"> году </w:t>
      </w:r>
      <w:r w:rsidRPr="00554BB7">
        <w:rPr>
          <w:sz w:val="28"/>
          <w:szCs w:val="28"/>
        </w:rPr>
        <w:t xml:space="preserve">от субъектов предпринимательской деятельности осуществляющих свою деятельность на территории </w:t>
      </w:r>
      <w:r w:rsidR="006F151F" w:rsidRPr="00554BB7">
        <w:rPr>
          <w:sz w:val="28"/>
          <w:szCs w:val="28"/>
        </w:rPr>
        <w:t>Нефтекумского</w:t>
      </w:r>
      <w:r w:rsidRPr="00554BB7">
        <w:rPr>
          <w:sz w:val="28"/>
          <w:szCs w:val="28"/>
        </w:rPr>
        <w:t xml:space="preserve"> </w:t>
      </w:r>
      <w:r w:rsidR="000B4896">
        <w:rPr>
          <w:sz w:val="28"/>
          <w:szCs w:val="28"/>
        </w:rPr>
        <w:t>муниципального</w:t>
      </w:r>
      <w:r w:rsidRPr="00554BB7">
        <w:rPr>
          <w:sz w:val="28"/>
          <w:szCs w:val="28"/>
        </w:rPr>
        <w:t xml:space="preserve"> округа Ставропольского края</w:t>
      </w:r>
      <w:r w:rsidR="00860986" w:rsidRPr="00554BB7">
        <w:rPr>
          <w:sz w:val="28"/>
          <w:szCs w:val="28"/>
        </w:rPr>
        <w:t xml:space="preserve"> </w:t>
      </w:r>
      <w:r w:rsidR="00554BB7" w:rsidRPr="00554BB7">
        <w:rPr>
          <w:sz w:val="28"/>
          <w:szCs w:val="28"/>
        </w:rPr>
        <w:t xml:space="preserve">жалоб </w:t>
      </w:r>
      <w:r w:rsidR="00F058AC">
        <w:rPr>
          <w:sz w:val="28"/>
          <w:szCs w:val="28"/>
        </w:rPr>
        <w:t>в контрольно-надзорных органы</w:t>
      </w:r>
      <w:r w:rsidR="00554BB7" w:rsidRPr="00554BB7">
        <w:rPr>
          <w:sz w:val="28"/>
          <w:szCs w:val="28"/>
        </w:rPr>
        <w:t xml:space="preserve"> в рамках нашей компетенции</w:t>
      </w:r>
      <w:r w:rsidRPr="00554BB7">
        <w:rPr>
          <w:sz w:val="28"/>
          <w:szCs w:val="28"/>
        </w:rPr>
        <w:t xml:space="preserve"> не поступало.</w:t>
      </w:r>
      <w:proofErr w:type="gramEnd"/>
    </w:p>
    <w:p w:rsidR="00860986" w:rsidRDefault="00860986" w:rsidP="005B0ADD">
      <w:pPr>
        <w:jc w:val="both"/>
        <w:rPr>
          <w:sz w:val="28"/>
          <w:szCs w:val="28"/>
        </w:rPr>
      </w:pPr>
    </w:p>
    <w:p w:rsidR="002A22E0" w:rsidRPr="006F151F" w:rsidRDefault="00700243" w:rsidP="006F151F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оценки оказан</w:t>
      </w:r>
      <w:r w:rsidR="008A7A3F">
        <w:rPr>
          <w:b/>
          <w:sz w:val="28"/>
          <w:szCs w:val="28"/>
        </w:rPr>
        <w:t xml:space="preserve">ия услуг субъектов естественных </w:t>
      </w:r>
      <w:r>
        <w:rPr>
          <w:b/>
          <w:sz w:val="28"/>
          <w:szCs w:val="28"/>
        </w:rPr>
        <w:t>монополий, сложности и сроков их получения в сравнении с прошлым годом</w:t>
      </w:r>
      <w:r w:rsidR="006F151F">
        <w:rPr>
          <w:b/>
          <w:sz w:val="28"/>
          <w:szCs w:val="28"/>
        </w:rPr>
        <w:t>.</w:t>
      </w:r>
    </w:p>
    <w:p w:rsidR="00AC792A" w:rsidRPr="001020FF" w:rsidRDefault="00AC792A" w:rsidP="00AC7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20FF">
        <w:rPr>
          <w:sz w:val="28"/>
          <w:szCs w:val="28"/>
        </w:rPr>
        <w:t>Предприниматели оценивали удовлетворенность услугами естественных монополий по следующим трем параметрам: сроки получения доступа, сложность (количество) процедур подключения, стоимость подключения.</w:t>
      </w:r>
    </w:p>
    <w:p w:rsidR="001020FF" w:rsidRDefault="0011040B" w:rsidP="00EC30C6">
      <w:pPr>
        <w:ind w:firstLine="709"/>
        <w:jc w:val="both"/>
        <w:rPr>
          <w:sz w:val="28"/>
          <w:szCs w:val="28"/>
        </w:rPr>
      </w:pPr>
      <w:r w:rsidRPr="001020FF">
        <w:rPr>
          <w:sz w:val="28"/>
          <w:szCs w:val="28"/>
        </w:rPr>
        <w:t>На основа</w:t>
      </w:r>
      <w:r w:rsidR="006C5CB1" w:rsidRPr="001020FF">
        <w:rPr>
          <w:sz w:val="28"/>
          <w:szCs w:val="28"/>
        </w:rPr>
        <w:t xml:space="preserve">нии </w:t>
      </w:r>
      <w:r w:rsidR="005F5C15" w:rsidRPr="001020FF">
        <w:rPr>
          <w:sz w:val="28"/>
          <w:szCs w:val="28"/>
        </w:rPr>
        <w:t>результатов</w:t>
      </w:r>
      <w:r w:rsidR="006C5CB1" w:rsidRPr="001020FF">
        <w:rPr>
          <w:sz w:val="28"/>
          <w:szCs w:val="28"/>
        </w:rPr>
        <w:t xml:space="preserve"> опроса </w:t>
      </w:r>
      <w:r w:rsidR="00D40C8C" w:rsidRPr="001020FF">
        <w:rPr>
          <w:sz w:val="28"/>
          <w:szCs w:val="28"/>
        </w:rPr>
        <w:t>видно снижение</w:t>
      </w:r>
      <w:r w:rsidR="006C5CB1" w:rsidRPr="001020FF">
        <w:rPr>
          <w:sz w:val="28"/>
          <w:szCs w:val="28"/>
        </w:rPr>
        <w:t xml:space="preserve"> удовлетворенности среди субъектов МСП </w:t>
      </w:r>
      <w:r w:rsidR="001B62E8" w:rsidRPr="001020FF">
        <w:rPr>
          <w:sz w:val="28"/>
          <w:szCs w:val="28"/>
        </w:rPr>
        <w:t>относительно</w:t>
      </w:r>
      <w:r w:rsidR="006C5CB1" w:rsidRPr="001020FF">
        <w:rPr>
          <w:sz w:val="28"/>
          <w:szCs w:val="28"/>
        </w:rPr>
        <w:t xml:space="preserve"> сложности и сроков получения доступа к услугам, предоставляемых субъектами естественных монополий</w:t>
      </w:r>
      <w:r w:rsidR="001B62E8" w:rsidRPr="001020FF">
        <w:rPr>
          <w:sz w:val="28"/>
          <w:szCs w:val="28"/>
        </w:rPr>
        <w:t xml:space="preserve"> (связь и «Интернет», теплоснабжение и водоснабжение)</w:t>
      </w:r>
      <w:r w:rsidR="006C5CB1" w:rsidRPr="001020FF">
        <w:rPr>
          <w:sz w:val="28"/>
          <w:szCs w:val="28"/>
        </w:rPr>
        <w:t>, а в отношении стоимости</w:t>
      </w:r>
      <w:r w:rsidR="00804F2C" w:rsidRPr="001020FF">
        <w:rPr>
          <w:sz w:val="28"/>
          <w:szCs w:val="28"/>
        </w:rPr>
        <w:t xml:space="preserve"> при подключении</w:t>
      </w:r>
      <w:r w:rsidR="006C5CB1" w:rsidRPr="001020FF">
        <w:rPr>
          <w:sz w:val="28"/>
          <w:szCs w:val="28"/>
        </w:rPr>
        <w:t xml:space="preserve"> предоставляемых услуг </w:t>
      </w:r>
      <w:r w:rsidR="00804F2C" w:rsidRPr="001020FF">
        <w:rPr>
          <w:sz w:val="28"/>
          <w:szCs w:val="28"/>
        </w:rPr>
        <w:t xml:space="preserve">наблюдается </w:t>
      </w:r>
      <w:r w:rsidR="001020FF">
        <w:rPr>
          <w:sz w:val="28"/>
          <w:szCs w:val="28"/>
        </w:rPr>
        <w:t>повышение</w:t>
      </w:r>
      <w:r w:rsidR="00804F2C" w:rsidRPr="001020FF">
        <w:rPr>
          <w:sz w:val="28"/>
          <w:szCs w:val="28"/>
        </w:rPr>
        <w:t xml:space="preserve"> удовлетворенности представителей бизнеса</w:t>
      </w:r>
      <w:r w:rsidR="001020FF">
        <w:rPr>
          <w:sz w:val="28"/>
          <w:szCs w:val="28"/>
        </w:rPr>
        <w:t>.</w:t>
      </w:r>
    </w:p>
    <w:p w:rsidR="0011040B" w:rsidRDefault="00803DAC" w:rsidP="00EC30C6">
      <w:pPr>
        <w:ind w:firstLine="709"/>
        <w:jc w:val="both"/>
        <w:rPr>
          <w:sz w:val="28"/>
          <w:szCs w:val="28"/>
        </w:rPr>
      </w:pPr>
      <w:r w:rsidRPr="00143547">
        <w:rPr>
          <w:sz w:val="28"/>
          <w:szCs w:val="28"/>
        </w:rPr>
        <w:t>Д</w:t>
      </w:r>
      <w:r w:rsidR="0011040B" w:rsidRPr="00143547">
        <w:rPr>
          <w:sz w:val="28"/>
          <w:szCs w:val="28"/>
        </w:rPr>
        <w:t>инамика</w:t>
      </w:r>
      <w:r w:rsidR="0011040B" w:rsidRPr="005F5C15">
        <w:rPr>
          <w:sz w:val="28"/>
          <w:szCs w:val="28"/>
        </w:rPr>
        <w:t xml:space="preserve"> удовлетворенности субъектов предпринимательской деятельности на территории </w:t>
      </w:r>
      <w:r w:rsidR="00F24BBB">
        <w:rPr>
          <w:sz w:val="28"/>
          <w:szCs w:val="28"/>
        </w:rPr>
        <w:t>Нефтекумского</w:t>
      </w:r>
      <w:r w:rsidR="0011040B" w:rsidRPr="005F5C15">
        <w:rPr>
          <w:sz w:val="28"/>
          <w:szCs w:val="28"/>
        </w:rPr>
        <w:t xml:space="preserve"> </w:t>
      </w:r>
      <w:r w:rsidR="000B4896">
        <w:rPr>
          <w:sz w:val="28"/>
          <w:szCs w:val="28"/>
        </w:rPr>
        <w:t>муниципального</w:t>
      </w:r>
      <w:r w:rsidR="0011040B" w:rsidRPr="005F5C15">
        <w:rPr>
          <w:sz w:val="28"/>
          <w:szCs w:val="28"/>
        </w:rPr>
        <w:t xml:space="preserve"> округа</w:t>
      </w:r>
      <w:r w:rsidR="00F24BBB">
        <w:rPr>
          <w:sz w:val="28"/>
          <w:szCs w:val="28"/>
        </w:rPr>
        <w:t xml:space="preserve"> Ставропольского края</w:t>
      </w:r>
      <w:r w:rsidR="0011040B" w:rsidRPr="005F5C15">
        <w:rPr>
          <w:sz w:val="28"/>
          <w:szCs w:val="28"/>
        </w:rPr>
        <w:t xml:space="preserve"> </w:t>
      </w:r>
      <w:r w:rsidRPr="005F5C15">
        <w:rPr>
          <w:sz w:val="28"/>
          <w:szCs w:val="28"/>
        </w:rPr>
        <w:t>приведена в диаграмме</w:t>
      </w:r>
      <w:r w:rsidR="00F24BBB">
        <w:rPr>
          <w:sz w:val="28"/>
          <w:szCs w:val="28"/>
        </w:rPr>
        <w:t xml:space="preserve"> согласно рисунку 48</w:t>
      </w:r>
      <w:r w:rsidRPr="005F5C15">
        <w:rPr>
          <w:sz w:val="28"/>
          <w:szCs w:val="28"/>
        </w:rPr>
        <w:t>.</w:t>
      </w:r>
    </w:p>
    <w:p w:rsidR="00F24BBB" w:rsidRDefault="00F24BBB" w:rsidP="00F24BB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48.</w:t>
      </w:r>
    </w:p>
    <w:p w:rsidR="00700243" w:rsidRDefault="00213448" w:rsidP="00B50DD8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48400" cy="291465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700243" w:rsidRPr="00143547" w:rsidRDefault="00700243" w:rsidP="00143547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удовлетворенности качеством официальной </w:t>
      </w:r>
      <w:r w:rsidRPr="008A7A3F">
        <w:rPr>
          <w:b/>
          <w:sz w:val="28"/>
          <w:szCs w:val="28"/>
        </w:rPr>
        <w:t>информации о состоянии конкурентной среды на товарных рынках, размещаемой в открытом доступе,</w:t>
      </w:r>
      <w:r w:rsidR="00554BB7">
        <w:rPr>
          <w:b/>
          <w:sz w:val="28"/>
          <w:szCs w:val="28"/>
        </w:rPr>
        <w:t xml:space="preserve"> </w:t>
      </w:r>
      <w:r w:rsidRPr="008A7A3F">
        <w:rPr>
          <w:b/>
          <w:sz w:val="28"/>
          <w:szCs w:val="28"/>
        </w:rPr>
        <w:t>в сравнении с прошлым годом.</w:t>
      </w:r>
    </w:p>
    <w:p w:rsidR="0011040B" w:rsidRDefault="000D336A" w:rsidP="00EC3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Субъектам МСП</w:t>
      </w:r>
      <w:r w:rsidRPr="000D336A">
        <w:rPr>
          <w:sz w:val="28"/>
          <w:szCs w:val="28"/>
        </w:rPr>
        <w:t xml:space="preserve"> предлагалось дать оценку качества официальной информации о состоянии конкурентной среды на рынках </w:t>
      </w:r>
      <w:r>
        <w:rPr>
          <w:sz w:val="28"/>
          <w:szCs w:val="28"/>
        </w:rPr>
        <w:t xml:space="preserve">товаров и </w:t>
      </w:r>
      <w:r w:rsidRPr="000D336A">
        <w:rPr>
          <w:sz w:val="28"/>
          <w:szCs w:val="28"/>
        </w:rPr>
        <w:t xml:space="preserve">услуг </w:t>
      </w:r>
      <w:r w:rsidR="00C048CB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="000B48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D336A">
        <w:rPr>
          <w:sz w:val="28"/>
          <w:szCs w:val="28"/>
        </w:rPr>
        <w:t xml:space="preserve"> и деятельности по содействию развитию конкуренции, размещаемой в открытом доступе, доступности получения информации со стороны органов </w:t>
      </w:r>
      <w:r w:rsidR="00E25FD4">
        <w:rPr>
          <w:sz w:val="28"/>
          <w:szCs w:val="28"/>
        </w:rPr>
        <w:t xml:space="preserve">местного самоуправления. </w:t>
      </w:r>
      <w:r w:rsidR="0011040B">
        <w:rPr>
          <w:sz w:val="28"/>
          <w:szCs w:val="28"/>
        </w:rPr>
        <w:t>В</w:t>
      </w:r>
      <w:r w:rsidR="00F3234A">
        <w:rPr>
          <w:sz w:val="28"/>
          <w:szCs w:val="28"/>
        </w:rPr>
        <w:t xml:space="preserve"> среднем более </w:t>
      </w:r>
      <w:r w:rsidR="00FA5283">
        <w:rPr>
          <w:sz w:val="28"/>
          <w:szCs w:val="28"/>
        </w:rPr>
        <w:t>73,8</w:t>
      </w:r>
      <w:r w:rsidR="00B41CA2">
        <w:rPr>
          <w:sz w:val="28"/>
          <w:szCs w:val="28"/>
        </w:rPr>
        <w:t xml:space="preserve"> </w:t>
      </w:r>
      <w:r w:rsidR="0011040B">
        <w:rPr>
          <w:sz w:val="28"/>
          <w:szCs w:val="28"/>
        </w:rPr>
        <w:t>%</w:t>
      </w:r>
      <w:r w:rsidR="00D40782">
        <w:rPr>
          <w:sz w:val="28"/>
          <w:szCs w:val="28"/>
        </w:rPr>
        <w:t xml:space="preserve"> (</w:t>
      </w:r>
      <w:r w:rsidR="002826B3">
        <w:rPr>
          <w:sz w:val="28"/>
          <w:szCs w:val="28"/>
        </w:rPr>
        <w:t>в 202</w:t>
      </w:r>
      <w:r w:rsidR="004D5932">
        <w:rPr>
          <w:sz w:val="28"/>
          <w:szCs w:val="28"/>
        </w:rPr>
        <w:t>2</w:t>
      </w:r>
      <w:r w:rsidR="00C048CB">
        <w:rPr>
          <w:sz w:val="28"/>
          <w:szCs w:val="28"/>
        </w:rPr>
        <w:t xml:space="preserve"> году </w:t>
      </w:r>
      <w:r w:rsidR="002826B3">
        <w:rPr>
          <w:sz w:val="28"/>
          <w:szCs w:val="28"/>
        </w:rPr>
        <w:t>–</w:t>
      </w:r>
      <w:r w:rsidR="00C048CB">
        <w:rPr>
          <w:sz w:val="28"/>
          <w:szCs w:val="28"/>
        </w:rPr>
        <w:t xml:space="preserve"> </w:t>
      </w:r>
      <w:r w:rsidR="004D5932">
        <w:rPr>
          <w:sz w:val="28"/>
          <w:szCs w:val="28"/>
        </w:rPr>
        <w:t>76,4</w:t>
      </w:r>
      <w:r w:rsidR="00B41CA2">
        <w:rPr>
          <w:sz w:val="28"/>
          <w:szCs w:val="28"/>
        </w:rPr>
        <w:t xml:space="preserve"> </w:t>
      </w:r>
      <w:r w:rsidR="00C048CB">
        <w:rPr>
          <w:sz w:val="28"/>
          <w:szCs w:val="28"/>
        </w:rPr>
        <w:t>%)</w:t>
      </w:r>
      <w:r w:rsidR="0011040B">
        <w:rPr>
          <w:sz w:val="28"/>
          <w:szCs w:val="28"/>
        </w:rPr>
        <w:t xml:space="preserve"> опрошенных удовлетворены уровнем доступности, понятности и удобством получения официальной информации размещаемой в открытом доступе о состоянии конкурентной среды на рынках товаров и услуг Ставропольского края. </w:t>
      </w:r>
      <w:r w:rsidR="002826B3">
        <w:rPr>
          <w:sz w:val="28"/>
          <w:szCs w:val="28"/>
        </w:rPr>
        <w:t xml:space="preserve"> </w:t>
      </w:r>
    </w:p>
    <w:p w:rsidR="00F058AC" w:rsidRDefault="00F058AC" w:rsidP="004D5932">
      <w:pPr>
        <w:rPr>
          <w:sz w:val="28"/>
          <w:szCs w:val="28"/>
        </w:rPr>
      </w:pPr>
    </w:p>
    <w:p w:rsidR="002826B3" w:rsidRDefault="002826B3" w:rsidP="00B41CA2">
      <w:pPr>
        <w:ind w:firstLine="709"/>
        <w:jc w:val="right"/>
        <w:rPr>
          <w:sz w:val="28"/>
          <w:szCs w:val="28"/>
        </w:rPr>
      </w:pPr>
    </w:p>
    <w:p w:rsidR="00B41CA2" w:rsidRDefault="00B41CA2" w:rsidP="00B41CA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49.</w:t>
      </w:r>
    </w:p>
    <w:p w:rsidR="00B41CA2" w:rsidRDefault="00B41CA2" w:rsidP="00B41CA2">
      <w:pPr>
        <w:tabs>
          <w:tab w:val="left" w:pos="384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Оценка качества официальной информации.</w:t>
      </w:r>
    </w:p>
    <w:p w:rsidR="00C048CB" w:rsidRDefault="00C048CB" w:rsidP="00EC30C6">
      <w:pPr>
        <w:ind w:firstLine="709"/>
        <w:jc w:val="both"/>
        <w:rPr>
          <w:sz w:val="28"/>
          <w:szCs w:val="28"/>
        </w:rPr>
      </w:pPr>
      <w:r w:rsidRPr="00C048CB">
        <w:rPr>
          <w:noProof/>
          <w:sz w:val="28"/>
          <w:szCs w:val="28"/>
        </w:rPr>
        <w:drawing>
          <wp:inline distT="0" distB="0" distL="0" distR="0">
            <wp:extent cx="5486400" cy="2962275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00243" w:rsidRPr="003549D1" w:rsidRDefault="00700243" w:rsidP="00B50DD8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3549D1">
        <w:rPr>
          <w:b/>
          <w:sz w:val="28"/>
          <w:szCs w:val="28"/>
        </w:rPr>
        <w:lastRenderedPageBreak/>
        <w:t>Мониторинг удовлетворенности деятельностью в сфере финансовых услуг, а так же доступности для субъектов предпринимательской деятельности финансовых услуг</w:t>
      </w:r>
      <w:r w:rsidR="00B50DD8" w:rsidRPr="003549D1">
        <w:rPr>
          <w:b/>
          <w:sz w:val="28"/>
          <w:szCs w:val="28"/>
        </w:rPr>
        <w:t>.</w:t>
      </w:r>
    </w:p>
    <w:p w:rsidR="001E339B" w:rsidRDefault="001E339B" w:rsidP="00EC30C6">
      <w:pPr>
        <w:ind w:firstLine="709"/>
        <w:jc w:val="both"/>
        <w:rPr>
          <w:sz w:val="28"/>
          <w:szCs w:val="28"/>
        </w:rPr>
      </w:pPr>
      <w:proofErr w:type="gramStart"/>
      <w:r w:rsidRPr="003549D1">
        <w:rPr>
          <w:sz w:val="28"/>
          <w:szCs w:val="28"/>
        </w:rPr>
        <w:t>Мониторинг удовлетворенности стоимостью,</w:t>
      </w:r>
      <w:r w:rsidR="007F1336" w:rsidRPr="003549D1">
        <w:rPr>
          <w:sz w:val="28"/>
          <w:szCs w:val="28"/>
        </w:rPr>
        <w:t xml:space="preserve"> качеством и доступностью предоставляемых услуг финансовыми организациями</w:t>
      </w:r>
      <w:r w:rsidR="00BA2D2B" w:rsidRPr="003549D1">
        <w:rPr>
          <w:sz w:val="28"/>
          <w:szCs w:val="28"/>
        </w:rPr>
        <w:t xml:space="preserve"> в соотношении с прошлым годом в %</w:t>
      </w:r>
      <w:r w:rsidR="007F1336" w:rsidRPr="003549D1">
        <w:rPr>
          <w:sz w:val="28"/>
          <w:szCs w:val="28"/>
        </w:rPr>
        <w:t xml:space="preserve"> </w:t>
      </w:r>
      <w:r w:rsidR="00BA2D2B" w:rsidRPr="003549D1">
        <w:rPr>
          <w:sz w:val="28"/>
          <w:szCs w:val="28"/>
        </w:rPr>
        <w:t>представлен</w:t>
      </w:r>
      <w:r w:rsidRPr="003549D1">
        <w:rPr>
          <w:sz w:val="28"/>
          <w:szCs w:val="28"/>
        </w:rPr>
        <w:t xml:space="preserve"> в диаграмме</w:t>
      </w:r>
      <w:r w:rsidR="00272E6F" w:rsidRPr="003549D1">
        <w:rPr>
          <w:sz w:val="28"/>
          <w:szCs w:val="28"/>
        </w:rPr>
        <w:t xml:space="preserve"> на рисунке</w:t>
      </w:r>
      <w:r w:rsidR="00272E6F">
        <w:rPr>
          <w:sz w:val="28"/>
          <w:szCs w:val="28"/>
        </w:rPr>
        <w:t xml:space="preserve"> 50.</w:t>
      </w:r>
      <w:proofErr w:type="gramEnd"/>
    </w:p>
    <w:p w:rsidR="00272E6F" w:rsidRDefault="00272E6F" w:rsidP="00272E6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50.</w:t>
      </w:r>
      <w:r w:rsidRPr="00272E6F">
        <w:rPr>
          <w:noProof/>
          <w:sz w:val="28"/>
          <w:szCs w:val="28"/>
        </w:rPr>
        <w:drawing>
          <wp:inline distT="0" distB="0" distL="0" distR="0">
            <wp:extent cx="6208889" cy="3556000"/>
            <wp:effectExtent l="0" t="0" r="0" b="0"/>
            <wp:docPr id="17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1E339B" w:rsidRDefault="001E339B" w:rsidP="001E339B">
      <w:pPr>
        <w:jc w:val="both"/>
        <w:rPr>
          <w:sz w:val="28"/>
          <w:szCs w:val="28"/>
        </w:rPr>
      </w:pPr>
    </w:p>
    <w:p w:rsidR="006B0709" w:rsidRDefault="00D04015" w:rsidP="00EC3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Отвечая на вопрос: «Какие из перечисленных барьеров, являются наиболее существенными при доступе к финансовым услугам» респонденты указали</w:t>
      </w:r>
      <w:r w:rsidR="001E339B">
        <w:rPr>
          <w:sz w:val="28"/>
          <w:szCs w:val="28"/>
        </w:rPr>
        <w:t xml:space="preserve">, что основными барьерами при доступе к финансовым услугам являются: </w:t>
      </w:r>
      <w:r w:rsidR="00890ACE" w:rsidRPr="00890ACE">
        <w:rPr>
          <w:sz w:val="28"/>
          <w:szCs w:val="28"/>
        </w:rPr>
        <w:t>Предлагаемая процентная ставка слишком низкая (для продуктов с процентным доходом) или слишком высокая</w:t>
      </w:r>
      <w:r w:rsidR="00890ACE">
        <w:rPr>
          <w:sz w:val="28"/>
          <w:szCs w:val="28"/>
        </w:rPr>
        <w:t xml:space="preserve"> – </w:t>
      </w:r>
      <w:r w:rsidR="003549D1">
        <w:rPr>
          <w:sz w:val="28"/>
          <w:szCs w:val="28"/>
        </w:rPr>
        <w:t>55,4</w:t>
      </w:r>
      <w:r w:rsidR="00BA2D2B">
        <w:rPr>
          <w:sz w:val="28"/>
          <w:szCs w:val="28"/>
        </w:rPr>
        <w:t xml:space="preserve"> % </w:t>
      </w:r>
      <w:r w:rsidR="00486F24">
        <w:rPr>
          <w:sz w:val="28"/>
          <w:szCs w:val="28"/>
        </w:rPr>
        <w:t>(</w:t>
      </w:r>
      <w:r w:rsidR="00BA2D2B">
        <w:rPr>
          <w:sz w:val="28"/>
          <w:szCs w:val="28"/>
        </w:rPr>
        <w:t xml:space="preserve">в </w:t>
      </w:r>
      <w:r w:rsidR="00890ACE">
        <w:rPr>
          <w:sz w:val="28"/>
          <w:szCs w:val="28"/>
        </w:rPr>
        <w:t>202</w:t>
      </w:r>
      <w:r w:rsidR="003549D1">
        <w:rPr>
          <w:sz w:val="28"/>
          <w:szCs w:val="28"/>
        </w:rPr>
        <w:t>2</w:t>
      </w:r>
      <w:r w:rsidR="00BA2D2B">
        <w:rPr>
          <w:sz w:val="28"/>
          <w:szCs w:val="28"/>
        </w:rPr>
        <w:t xml:space="preserve"> году </w:t>
      </w:r>
      <w:r w:rsidR="00890ACE">
        <w:rPr>
          <w:sz w:val="28"/>
          <w:szCs w:val="28"/>
        </w:rPr>
        <w:t xml:space="preserve">– </w:t>
      </w:r>
      <w:r w:rsidR="003549D1">
        <w:rPr>
          <w:sz w:val="28"/>
          <w:szCs w:val="28"/>
        </w:rPr>
        <w:t>60,4</w:t>
      </w:r>
      <w:r w:rsidR="00BA2D2B">
        <w:rPr>
          <w:sz w:val="28"/>
          <w:szCs w:val="28"/>
        </w:rPr>
        <w:t xml:space="preserve"> %)</w:t>
      </w:r>
      <w:r w:rsidR="00C516D3">
        <w:rPr>
          <w:sz w:val="28"/>
          <w:szCs w:val="28"/>
        </w:rPr>
        <w:t xml:space="preserve">. </w:t>
      </w:r>
    </w:p>
    <w:p w:rsidR="00890ACE" w:rsidRDefault="00890ACE" w:rsidP="00EC30C6">
      <w:pPr>
        <w:ind w:firstLine="709"/>
        <w:jc w:val="both"/>
        <w:rPr>
          <w:sz w:val="28"/>
          <w:szCs w:val="28"/>
        </w:rPr>
      </w:pPr>
    </w:p>
    <w:p w:rsidR="001E339B" w:rsidRPr="00452B6C" w:rsidRDefault="001E339B" w:rsidP="001E339B">
      <w:pPr>
        <w:ind w:firstLine="709"/>
        <w:jc w:val="center"/>
        <w:rPr>
          <w:b/>
          <w:sz w:val="28"/>
          <w:szCs w:val="28"/>
        </w:rPr>
      </w:pPr>
      <w:r w:rsidRPr="00452B6C">
        <w:rPr>
          <w:b/>
          <w:sz w:val="28"/>
          <w:szCs w:val="28"/>
          <w:lang w:val="en-US"/>
        </w:rPr>
        <w:t>III</w:t>
      </w:r>
      <w:r w:rsidRPr="00452B6C">
        <w:rPr>
          <w:b/>
          <w:sz w:val="28"/>
          <w:szCs w:val="28"/>
        </w:rPr>
        <w:t xml:space="preserve">. Анализ итогов опросов населения </w:t>
      </w:r>
    </w:p>
    <w:p w:rsidR="001E339B" w:rsidRDefault="001E339B" w:rsidP="001E339B">
      <w:pPr>
        <w:ind w:firstLine="709"/>
        <w:jc w:val="center"/>
        <w:rPr>
          <w:b/>
          <w:sz w:val="28"/>
          <w:szCs w:val="28"/>
        </w:rPr>
      </w:pPr>
      <w:r w:rsidRPr="00452B6C">
        <w:rPr>
          <w:b/>
          <w:sz w:val="28"/>
          <w:szCs w:val="28"/>
        </w:rPr>
        <w:t>в отношении доступности финансовых услуг</w:t>
      </w:r>
    </w:p>
    <w:p w:rsidR="001E339B" w:rsidRDefault="001E339B" w:rsidP="001E339B">
      <w:pPr>
        <w:ind w:firstLine="709"/>
        <w:jc w:val="center"/>
        <w:rPr>
          <w:b/>
          <w:sz w:val="28"/>
          <w:szCs w:val="28"/>
        </w:rPr>
      </w:pPr>
    </w:p>
    <w:p w:rsidR="00AC2AB6" w:rsidRPr="001078BC" w:rsidRDefault="00AC2AB6" w:rsidP="00C720D8">
      <w:pPr>
        <w:pStyle w:val="a7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AC2AB6">
        <w:rPr>
          <w:b/>
          <w:sz w:val="28"/>
          <w:szCs w:val="28"/>
        </w:rPr>
        <w:t>Мониторинг м</w:t>
      </w:r>
      <w:r w:rsidR="00E13A39" w:rsidRPr="00AC2AB6">
        <w:rPr>
          <w:b/>
          <w:sz w:val="28"/>
          <w:szCs w:val="28"/>
        </w:rPr>
        <w:t>атериального положения населен</w:t>
      </w:r>
      <w:r w:rsidR="00C720D8">
        <w:rPr>
          <w:b/>
          <w:sz w:val="28"/>
          <w:szCs w:val="28"/>
        </w:rPr>
        <w:t>ия</w:t>
      </w:r>
      <w:r w:rsidR="00E13A39" w:rsidRPr="00AC2AB6">
        <w:rPr>
          <w:b/>
          <w:sz w:val="28"/>
          <w:szCs w:val="28"/>
        </w:rPr>
        <w:t xml:space="preserve"> </w:t>
      </w:r>
      <w:r w:rsidR="00E209C5">
        <w:rPr>
          <w:b/>
          <w:sz w:val="28"/>
          <w:szCs w:val="28"/>
        </w:rPr>
        <w:t xml:space="preserve">Нефтекумского </w:t>
      </w:r>
      <w:r w:rsidR="000B4896">
        <w:rPr>
          <w:b/>
          <w:sz w:val="28"/>
          <w:szCs w:val="28"/>
        </w:rPr>
        <w:t>муниципального</w:t>
      </w:r>
      <w:r w:rsidR="00E209C5">
        <w:rPr>
          <w:b/>
          <w:sz w:val="28"/>
          <w:szCs w:val="28"/>
        </w:rPr>
        <w:t xml:space="preserve"> округа </w:t>
      </w:r>
      <w:r w:rsidR="00E13A39" w:rsidRPr="00AC2AB6">
        <w:rPr>
          <w:b/>
          <w:sz w:val="28"/>
          <w:szCs w:val="28"/>
        </w:rPr>
        <w:t>Ставропольского края.</w:t>
      </w:r>
    </w:p>
    <w:p w:rsidR="006617D9" w:rsidRDefault="006617D9" w:rsidP="00B66CBD">
      <w:pPr>
        <w:ind w:firstLine="709"/>
        <w:jc w:val="both"/>
        <w:rPr>
          <w:sz w:val="28"/>
          <w:szCs w:val="28"/>
        </w:rPr>
      </w:pPr>
      <w:r w:rsidRPr="008C4442">
        <w:rPr>
          <w:sz w:val="28"/>
          <w:szCs w:val="28"/>
        </w:rPr>
        <w:t xml:space="preserve">В </w:t>
      </w:r>
      <w:r>
        <w:rPr>
          <w:sz w:val="28"/>
          <w:szCs w:val="28"/>
        </w:rPr>
        <w:t>опросе населения</w:t>
      </w:r>
      <w:r w:rsidRPr="008C4442">
        <w:rPr>
          <w:sz w:val="28"/>
          <w:szCs w:val="28"/>
        </w:rPr>
        <w:t xml:space="preserve"> </w:t>
      </w:r>
      <w:r w:rsidRPr="00DA4ECE">
        <w:rPr>
          <w:sz w:val="28"/>
          <w:szCs w:val="28"/>
        </w:rPr>
        <w:t>в отношении доступности финансовых услуг</w:t>
      </w:r>
      <w:r>
        <w:rPr>
          <w:sz w:val="28"/>
          <w:szCs w:val="28"/>
        </w:rPr>
        <w:t xml:space="preserve"> </w:t>
      </w:r>
      <w:r w:rsidRPr="008C4442">
        <w:rPr>
          <w:sz w:val="28"/>
          <w:szCs w:val="28"/>
        </w:rPr>
        <w:t xml:space="preserve">приняли участие </w:t>
      </w:r>
      <w:r w:rsidR="00AF3AC6">
        <w:rPr>
          <w:sz w:val="28"/>
          <w:szCs w:val="28"/>
        </w:rPr>
        <w:t>8</w:t>
      </w:r>
      <w:r w:rsidR="00E53108">
        <w:rPr>
          <w:sz w:val="28"/>
          <w:szCs w:val="28"/>
        </w:rPr>
        <w:t>7</w:t>
      </w:r>
      <w:r w:rsidR="00AF3AC6">
        <w:rPr>
          <w:sz w:val="28"/>
          <w:szCs w:val="28"/>
        </w:rPr>
        <w:t xml:space="preserve"> (в 202</w:t>
      </w:r>
      <w:r w:rsidR="00E5310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F058AC">
        <w:rPr>
          <w:sz w:val="28"/>
          <w:szCs w:val="28"/>
        </w:rPr>
        <w:t>-</w:t>
      </w:r>
      <w:r w:rsidR="00AF3AC6">
        <w:rPr>
          <w:sz w:val="28"/>
          <w:szCs w:val="28"/>
        </w:rPr>
        <w:t xml:space="preserve"> </w:t>
      </w:r>
      <w:r w:rsidR="00E53108">
        <w:rPr>
          <w:sz w:val="28"/>
          <w:szCs w:val="28"/>
        </w:rPr>
        <w:t>80</w:t>
      </w:r>
      <w:r>
        <w:rPr>
          <w:sz w:val="28"/>
          <w:szCs w:val="28"/>
        </w:rPr>
        <w:t>)</w:t>
      </w:r>
      <w:r w:rsidRPr="008C4442">
        <w:rPr>
          <w:sz w:val="28"/>
          <w:szCs w:val="28"/>
        </w:rPr>
        <w:t xml:space="preserve"> </w:t>
      </w:r>
      <w:r>
        <w:rPr>
          <w:sz w:val="28"/>
          <w:szCs w:val="28"/>
        </w:rPr>
        <w:t>респондентов</w:t>
      </w:r>
      <w:r w:rsidRPr="00E75E75">
        <w:rPr>
          <w:sz w:val="28"/>
          <w:szCs w:val="28"/>
        </w:rPr>
        <w:t>, в том числе</w:t>
      </w:r>
      <w:r w:rsidRPr="008C4442">
        <w:rPr>
          <w:sz w:val="28"/>
          <w:szCs w:val="28"/>
        </w:rPr>
        <w:t xml:space="preserve"> </w:t>
      </w:r>
      <w:r w:rsidR="00E53108">
        <w:rPr>
          <w:sz w:val="28"/>
          <w:szCs w:val="28"/>
        </w:rPr>
        <w:t>44,8</w:t>
      </w:r>
      <w:r>
        <w:rPr>
          <w:sz w:val="28"/>
          <w:szCs w:val="28"/>
        </w:rPr>
        <w:t xml:space="preserve"> % </w:t>
      </w:r>
      <w:r w:rsidR="00AF3AC6">
        <w:rPr>
          <w:sz w:val="28"/>
          <w:szCs w:val="28"/>
        </w:rPr>
        <w:t>(в 202</w:t>
      </w:r>
      <w:r w:rsidR="00E53108">
        <w:rPr>
          <w:sz w:val="28"/>
          <w:szCs w:val="28"/>
        </w:rPr>
        <w:t>2</w:t>
      </w:r>
      <w:r w:rsidRPr="006617D9">
        <w:rPr>
          <w:sz w:val="28"/>
          <w:szCs w:val="28"/>
        </w:rPr>
        <w:t xml:space="preserve"> году </w:t>
      </w:r>
      <w:r w:rsidR="00AF3AC6">
        <w:rPr>
          <w:sz w:val="28"/>
          <w:szCs w:val="28"/>
        </w:rPr>
        <w:t>–</w:t>
      </w:r>
      <w:r w:rsidRPr="006617D9">
        <w:rPr>
          <w:sz w:val="28"/>
          <w:szCs w:val="28"/>
        </w:rPr>
        <w:t xml:space="preserve"> </w:t>
      </w:r>
      <w:r w:rsidR="00E53108">
        <w:rPr>
          <w:sz w:val="28"/>
          <w:szCs w:val="28"/>
        </w:rPr>
        <w:t>45</w:t>
      </w:r>
      <w:r w:rsidRPr="006617D9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мужчин и </w:t>
      </w:r>
      <w:r w:rsidR="00347443">
        <w:rPr>
          <w:sz w:val="28"/>
          <w:szCs w:val="28"/>
        </w:rPr>
        <w:t>55</w:t>
      </w:r>
      <w:r w:rsidR="00E53108">
        <w:rPr>
          <w:sz w:val="28"/>
          <w:szCs w:val="28"/>
        </w:rPr>
        <w:t>,2</w:t>
      </w:r>
      <w:r>
        <w:rPr>
          <w:sz w:val="28"/>
          <w:szCs w:val="28"/>
        </w:rPr>
        <w:t xml:space="preserve"> % </w:t>
      </w:r>
      <w:r w:rsidR="00AF3AC6">
        <w:rPr>
          <w:sz w:val="28"/>
          <w:szCs w:val="28"/>
        </w:rPr>
        <w:t>(в 202</w:t>
      </w:r>
      <w:r w:rsidR="00E53108">
        <w:rPr>
          <w:sz w:val="28"/>
          <w:szCs w:val="28"/>
        </w:rPr>
        <w:t>2</w:t>
      </w:r>
      <w:r w:rsidRPr="006617D9">
        <w:rPr>
          <w:sz w:val="28"/>
          <w:szCs w:val="28"/>
        </w:rPr>
        <w:t xml:space="preserve"> году </w:t>
      </w:r>
      <w:r w:rsidR="00AF3AC6">
        <w:rPr>
          <w:sz w:val="28"/>
          <w:szCs w:val="28"/>
        </w:rPr>
        <w:t>–</w:t>
      </w:r>
      <w:r w:rsidRPr="006617D9">
        <w:rPr>
          <w:sz w:val="28"/>
          <w:szCs w:val="28"/>
        </w:rPr>
        <w:t xml:space="preserve"> </w:t>
      </w:r>
      <w:r w:rsidR="00E53108">
        <w:rPr>
          <w:sz w:val="28"/>
          <w:szCs w:val="28"/>
        </w:rPr>
        <w:t>55</w:t>
      </w:r>
      <w:r w:rsidRPr="006617D9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женщин.</w:t>
      </w:r>
    </w:p>
    <w:p w:rsidR="006617D9" w:rsidRDefault="006617D9" w:rsidP="000111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50667">
        <w:rPr>
          <w:color w:val="000000"/>
          <w:sz w:val="28"/>
          <w:szCs w:val="28"/>
        </w:rPr>
        <w:t xml:space="preserve">Больше всего было опрошено респондентов в возрасте </w:t>
      </w:r>
      <w:r w:rsidR="0049414C" w:rsidRPr="00A50667">
        <w:rPr>
          <w:color w:val="000000"/>
          <w:sz w:val="28"/>
          <w:szCs w:val="28"/>
        </w:rPr>
        <w:t>от</w:t>
      </w:r>
      <w:r w:rsidR="0049414C">
        <w:rPr>
          <w:color w:val="000000"/>
          <w:sz w:val="28"/>
          <w:szCs w:val="28"/>
        </w:rPr>
        <w:t xml:space="preserve"> </w:t>
      </w:r>
      <w:r w:rsidR="0049414C" w:rsidRPr="00A50667">
        <w:rPr>
          <w:color w:val="000000"/>
          <w:sz w:val="28"/>
          <w:szCs w:val="28"/>
        </w:rPr>
        <w:t xml:space="preserve"> </w:t>
      </w:r>
      <w:r w:rsidR="0049414C">
        <w:rPr>
          <w:color w:val="000000"/>
          <w:sz w:val="28"/>
          <w:szCs w:val="28"/>
        </w:rPr>
        <w:t xml:space="preserve">35 </w:t>
      </w:r>
      <w:r w:rsidR="0049414C" w:rsidRPr="00A50667">
        <w:rPr>
          <w:color w:val="000000"/>
          <w:sz w:val="28"/>
          <w:szCs w:val="28"/>
        </w:rPr>
        <w:t xml:space="preserve">года до </w:t>
      </w:r>
      <w:r w:rsidR="0049414C">
        <w:rPr>
          <w:color w:val="000000"/>
          <w:sz w:val="28"/>
          <w:szCs w:val="28"/>
        </w:rPr>
        <w:t>44</w:t>
      </w:r>
      <w:r w:rsidR="0049414C" w:rsidRPr="00A50667">
        <w:rPr>
          <w:color w:val="000000"/>
          <w:sz w:val="28"/>
          <w:szCs w:val="28"/>
        </w:rPr>
        <w:t xml:space="preserve"> лет </w:t>
      </w:r>
      <w:r w:rsidR="0049414C">
        <w:rPr>
          <w:color w:val="000000"/>
          <w:sz w:val="28"/>
          <w:szCs w:val="28"/>
        </w:rPr>
        <w:t>–</w:t>
      </w:r>
      <w:r w:rsidR="0049414C" w:rsidRPr="00A50667">
        <w:rPr>
          <w:color w:val="000000"/>
          <w:sz w:val="28"/>
          <w:szCs w:val="28"/>
        </w:rPr>
        <w:t xml:space="preserve"> </w:t>
      </w:r>
      <w:r w:rsidR="0049414C">
        <w:rPr>
          <w:color w:val="000000"/>
          <w:sz w:val="28"/>
          <w:szCs w:val="28"/>
        </w:rPr>
        <w:t>26,</w:t>
      </w:r>
      <w:r w:rsidR="00E53108">
        <w:rPr>
          <w:color w:val="000000"/>
          <w:sz w:val="28"/>
          <w:szCs w:val="28"/>
        </w:rPr>
        <w:t>4</w:t>
      </w:r>
      <w:r w:rsidR="0049414C">
        <w:rPr>
          <w:color w:val="000000"/>
          <w:sz w:val="28"/>
          <w:szCs w:val="28"/>
        </w:rPr>
        <w:t xml:space="preserve"> % (в 202</w:t>
      </w:r>
      <w:r w:rsidR="00E53108">
        <w:rPr>
          <w:color w:val="000000"/>
          <w:sz w:val="28"/>
          <w:szCs w:val="28"/>
        </w:rPr>
        <w:t>2</w:t>
      </w:r>
      <w:r w:rsidR="0049414C" w:rsidRPr="00011124">
        <w:rPr>
          <w:color w:val="000000"/>
          <w:sz w:val="28"/>
          <w:szCs w:val="28"/>
        </w:rPr>
        <w:t xml:space="preserve"> году </w:t>
      </w:r>
      <w:r w:rsidR="00E53108">
        <w:rPr>
          <w:color w:val="000000"/>
          <w:sz w:val="28"/>
          <w:szCs w:val="28"/>
        </w:rPr>
        <w:t>–</w:t>
      </w:r>
      <w:r w:rsidR="0049414C" w:rsidRPr="00011124"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26,3</w:t>
      </w:r>
      <w:r w:rsidR="0049414C" w:rsidRPr="00011124">
        <w:rPr>
          <w:color w:val="000000"/>
          <w:sz w:val="28"/>
          <w:szCs w:val="28"/>
        </w:rPr>
        <w:t>%)</w:t>
      </w:r>
      <w:r w:rsidR="0049414C">
        <w:rPr>
          <w:color w:val="000000"/>
          <w:sz w:val="28"/>
          <w:szCs w:val="28"/>
        </w:rPr>
        <w:t xml:space="preserve">, от 45 до 54 лет – </w:t>
      </w:r>
      <w:r w:rsidR="00E53108">
        <w:rPr>
          <w:color w:val="000000"/>
          <w:sz w:val="28"/>
          <w:szCs w:val="28"/>
        </w:rPr>
        <w:t>23,0</w:t>
      </w:r>
      <w:r w:rsidR="0049414C">
        <w:rPr>
          <w:color w:val="000000"/>
          <w:sz w:val="28"/>
          <w:szCs w:val="28"/>
        </w:rPr>
        <w:t xml:space="preserve"> </w:t>
      </w:r>
      <w:r w:rsidR="00011124">
        <w:rPr>
          <w:color w:val="000000"/>
          <w:sz w:val="28"/>
          <w:szCs w:val="28"/>
        </w:rPr>
        <w:t xml:space="preserve">% </w:t>
      </w:r>
      <w:r w:rsidR="0049414C">
        <w:rPr>
          <w:color w:val="000000"/>
          <w:sz w:val="28"/>
          <w:szCs w:val="28"/>
        </w:rPr>
        <w:t>(в 202</w:t>
      </w:r>
      <w:r w:rsidR="00E53108">
        <w:rPr>
          <w:color w:val="000000"/>
          <w:sz w:val="28"/>
          <w:szCs w:val="28"/>
        </w:rPr>
        <w:t>2</w:t>
      </w:r>
      <w:r w:rsidR="00011124" w:rsidRPr="00011124">
        <w:rPr>
          <w:color w:val="000000"/>
          <w:sz w:val="28"/>
          <w:szCs w:val="28"/>
        </w:rPr>
        <w:t xml:space="preserve"> году </w:t>
      </w:r>
      <w:r w:rsidR="00E53108">
        <w:rPr>
          <w:color w:val="000000"/>
          <w:sz w:val="28"/>
          <w:szCs w:val="28"/>
        </w:rPr>
        <w:t>–</w:t>
      </w:r>
      <w:r w:rsidR="00011124" w:rsidRPr="00011124"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22,5</w:t>
      </w:r>
      <w:r w:rsidR="00011124" w:rsidRPr="00011124">
        <w:rPr>
          <w:color w:val="000000"/>
          <w:sz w:val="28"/>
          <w:szCs w:val="28"/>
        </w:rPr>
        <w:t xml:space="preserve"> %)</w:t>
      </w:r>
      <w:r w:rsidR="00011124">
        <w:rPr>
          <w:color w:val="000000"/>
          <w:sz w:val="28"/>
          <w:szCs w:val="28"/>
        </w:rPr>
        <w:t xml:space="preserve">,  </w:t>
      </w:r>
      <w:r w:rsidRPr="00A5066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25</w:t>
      </w:r>
      <w:r w:rsidRPr="00A50667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34</w:t>
      </w:r>
      <w:r w:rsidRPr="00A50667">
        <w:rPr>
          <w:color w:val="000000"/>
          <w:sz w:val="28"/>
          <w:szCs w:val="28"/>
        </w:rPr>
        <w:t xml:space="preserve"> лет </w:t>
      </w:r>
      <w:r w:rsidR="00E53108">
        <w:rPr>
          <w:color w:val="000000"/>
          <w:sz w:val="28"/>
          <w:szCs w:val="28"/>
        </w:rPr>
        <w:t>–</w:t>
      </w:r>
      <w:r w:rsidRPr="00A50667"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16,1</w:t>
      </w:r>
      <w:r w:rsidR="00011124">
        <w:rPr>
          <w:color w:val="000000"/>
          <w:sz w:val="28"/>
          <w:szCs w:val="28"/>
        </w:rPr>
        <w:t xml:space="preserve"> </w:t>
      </w:r>
      <w:r w:rsidR="0049414C">
        <w:rPr>
          <w:color w:val="000000"/>
          <w:sz w:val="28"/>
          <w:szCs w:val="28"/>
        </w:rPr>
        <w:t>% (в 202</w:t>
      </w:r>
      <w:r w:rsidR="00E53108">
        <w:rPr>
          <w:color w:val="000000"/>
          <w:sz w:val="28"/>
          <w:szCs w:val="28"/>
        </w:rPr>
        <w:t>2</w:t>
      </w:r>
      <w:r w:rsidR="00011124" w:rsidRPr="00011124">
        <w:rPr>
          <w:color w:val="000000"/>
          <w:sz w:val="28"/>
          <w:szCs w:val="28"/>
        </w:rPr>
        <w:t xml:space="preserve"> году </w:t>
      </w:r>
      <w:r w:rsidR="00F058AC">
        <w:rPr>
          <w:color w:val="000000"/>
          <w:sz w:val="28"/>
          <w:szCs w:val="28"/>
        </w:rPr>
        <w:t>-</w:t>
      </w:r>
      <w:r w:rsidR="00011124" w:rsidRPr="00011124">
        <w:rPr>
          <w:color w:val="000000"/>
          <w:sz w:val="28"/>
          <w:szCs w:val="28"/>
        </w:rPr>
        <w:t xml:space="preserve"> </w:t>
      </w:r>
      <w:r w:rsidR="0049414C">
        <w:rPr>
          <w:color w:val="000000"/>
          <w:sz w:val="28"/>
          <w:szCs w:val="28"/>
        </w:rPr>
        <w:t>2</w:t>
      </w:r>
      <w:r w:rsidR="00E53108">
        <w:rPr>
          <w:color w:val="000000"/>
          <w:sz w:val="28"/>
          <w:szCs w:val="28"/>
        </w:rPr>
        <w:t>0</w:t>
      </w:r>
      <w:r w:rsidR="00011124" w:rsidRPr="00011124">
        <w:rPr>
          <w:color w:val="000000"/>
          <w:sz w:val="28"/>
          <w:szCs w:val="28"/>
        </w:rPr>
        <w:t xml:space="preserve"> %)</w:t>
      </w:r>
      <w:r w:rsidRPr="00A50667">
        <w:rPr>
          <w:color w:val="000000"/>
          <w:sz w:val="28"/>
          <w:szCs w:val="28"/>
        </w:rPr>
        <w:t xml:space="preserve">, </w:t>
      </w:r>
      <w:r w:rsidR="00011124">
        <w:rPr>
          <w:color w:val="000000"/>
          <w:sz w:val="28"/>
          <w:szCs w:val="28"/>
        </w:rPr>
        <w:t xml:space="preserve">от 18 до 24 лет </w:t>
      </w:r>
      <w:r w:rsidR="00E53108">
        <w:rPr>
          <w:color w:val="000000"/>
          <w:sz w:val="28"/>
          <w:szCs w:val="28"/>
        </w:rPr>
        <w:t>–</w:t>
      </w:r>
      <w:r w:rsidR="0049414C"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12,6</w:t>
      </w:r>
      <w:r w:rsidR="00011124">
        <w:rPr>
          <w:color w:val="000000"/>
          <w:sz w:val="28"/>
          <w:szCs w:val="28"/>
        </w:rPr>
        <w:t xml:space="preserve"> </w:t>
      </w:r>
      <w:r w:rsidR="0049414C">
        <w:rPr>
          <w:color w:val="000000"/>
          <w:sz w:val="28"/>
          <w:szCs w:val="28"/>
        </w:rPr>
        <w:t>% (в 202</w:t>
      </w:r>
      <w:r w:rsidR="00E53108">
        <w:rPr>
          <w:color w:val="000000"/>
          <w:sz w:val="28"/>
          <w:szCs w:val="28"/>
        </w:rPr>
        <w:t>2</w:t>
      </w:r>
      <w:r w:rsidR="00011124" w:rsidRPr="00011124">
        <w:rPr>
          <w:color w:val="000000"/>
          <w:sz w:val="28"/>
          <w:szCs w:val="28"/>
        </w:rPr>
        <w:t xml:space="preserve"> году </w:t>
      </w:r>
      <w:r w:rsidR="00F058AC">
        <w:rPr>
          <w:color w:val="000000"/>
          <w:sz w:val="28"/>
          <w:szCs w:val="28"/>
        </w:rPr>
        <w:t xml:space="preserve">- </w:t>
      </w:r>
      <w:r w:rsidR="0049414C">
        <w:rPr>
          <w:color w:val="000000"/>
          <w:sz w:val="28"/>
          <w:szCs w:val="28"/>
        </w:rPr>
        <w:t>1</w:t>
      </w:r>
      <w:r w:rsidR="00E53108">
        <w:rPr>
          <w:color w:val="000000"/>
          <w:sz w:val="28"/>
          <w:szCs w:val="28"/>
        </w:rPr>
        <w:t>5</w:t>
      </w:r>
      <w:r w:rsidR="00011124" w:rsidRPr="00011124">
        <w:rPr>
          <w:color w:val="000000"/>
          <w:sz w:val="28"/>
          <w:szCs w:val="28"/>
        </w:rPr>
        <w:t xml:space="preserve"> %)</w:t>
      </w:r>
      <w:r w:rsidR="000111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55 до 64 лет </w:t>
      </w:r>
      <w:r w:rsidR="0049414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12,6</w:t>
      </w:r>
      <w:r w:rsidR="0049414C">
        <w:rPr>
          <w:color w:val="000000"/>
          <w:sz w:val="28"/>
          <w:szCs w:val="28"/>
        </w:rPr>
        <w:t xml:space="preserve"> % (в 202</w:t>
      </w:r>
      <w:r w:rsidR="00E53108">
        <w:rPr>
          <w:color w:val="000000"/>
          <w:sz w:val="28"/>
          <w:szCs w:val="28"/>
        </w:rPr>
        <w:t>2</w:t>
      </w:r>
      <w:r w:rsidR="00011124" w:rsidRPr="00011124">
        <w:rPr>
          <w:color w:val="000000"/>
          <w:sz w:val="28"/>
          <w:szCs w:val="28"/>
        </w:rPr>
        <w:t xml:space="preserve"> году </w:t>
      </w:r>
      <w:r w:rsidR="00F058AC">
        <w:rPr>
          <w:color w:val="000000"/>
          <w:sz w:val="28"/>
          <w:szCs w:val="28"/>
        </w:rPr>
        <w:t>-</w:t>
      </w:r>
      <w:r w:rsidR="00011124" w:rsidRPr="00011124"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10</w:t>
      </w:r>
      <w:r w:rsidR="00011124" w:rsidRPr="00011124">
        <w:rPr>
          <w:color w:val="000000"/>
          <w:sz w:val="28"/>
          <w:szCs w:val="28"/>
        </w:rPr>
        <w:t xml:space="preserve"> %)</w:t>
      </w:r>
      <w:r>
        <w:rPr>
          <w:color w:val="000000"/>
          <w:sz w:val="28"/>
          <w:szCs w:val="28"/>
        </w:rPr>
        <w:t xml:space="preserve">, и </w:t>
      </w:r>
      <w:r w:rsidRPr="00A50667">
        <w:rPr>
          <w:color w:val="000000"/>
          <w:sz w:val="28"/>
          <w:szCs w:val="28"/>
        </w:rPr>
        <w:t>старше</w:t>
      </w:r>
      <w:proofErr w:type="gramEnd"/>
      <w:r w:rsidRPr="00A50667">
        <w:rPr>
          <w:color w:val="000000"/>
          <w:sz w:val="28"/>
          <w:szCs w:val="28"/>
        </w:rPr>
        <w:t xml:space="preserve"> </w:t>
      </w:r>
      <w:r w:rsidR="0049414C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 xml:space="preserve"> лет </w:t>
      </w:r>
      <w:r w:rsidR="0049414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9,2</w:t>
      </w:r>
      <w:r w:rsidR="0049414C">
        <w:rPr>
          <w:color w:val="000000"/>
          <w:sz w:val="28"/>
          <w:szCs w:val="28"/>
        </w:rPr>
        <w:t xml:space="preserve"> % (в 202</w:t>
      </w:r>
      <w:r w:rsidR="00E53108">
        <w:rPr>
          <w:color w:val="000000"/>
          <w:sz w:val="28"/>
          <w:szCs w:val="28"/>
        </w:rPr>
        <w:t>2</w:t>
      </w:r>
      <w:r w:rsidR="00011124" w:rsidRPr="00011124">
        <w:rPr>
          <w:color w:val="000000"/>
          <w:sz w:val="28"/>
          <w:szCs w:val="28"/>
        </w:rPr>
        <w:t xml:space="preserve"> году </w:t>
      </w:r>
      <w:r w:rsidR="00E53108">
        <w:rPr>
          <w:color w:val="000000"/>
          <w:sz w:val="28"/>
          <w:szCs w:val="28"/>
        </w:rPr>
        <w:t>–</w:t>
      </w:r>
      <w:r w:rsidR="00011124" w:rsidRPr="00011124"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6,3</w:t>
      </w:r>
      <w:r w:rsidR="00011124" w:rsidRPr="00011124">
        <w:rPr>
          <w:color w:val="000000"/>
          <w:sz w:val="28"/>
          <w:szCs w:val="28"/>
        </w:rPr>
        <w:t xml:space="preserve"> %)</w:t>
      </w:r>
      <w:r w:rsidRPr="00A50667">
        <w:rPr>
          <w:color w:val="000000"/>
          <w:sz w:val="28"/>
          <w:szCs w:val="28"/>
        </w:rPr>
        <w:t xml:space="preserve">. </w:t>
      </w:r>
    </w:p>
    <w:p w:rsidR="00F058AC" w:rsidRDefault="006617D9" w:rsidP="00B50D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мониторинга материального положения населения можно </w:t>
      </w:r>
      <w:r w:rsidR="00011124">
        <w:rPr>
          <w:color w:val="000000"/>
          <w:sz w:val="28"/>
          <w:szCs w:val="28"/>
        </w:rPr>
        <w:t>охарактеризовать следующим образом</w:t>
      </w:r>
      <w:r w:rsidRPr="00441B1E">
        <w:rPr>
          <w:color w:val="000000"/>
          <w:sz w:val="28"/>
          <w:szCs w:val="28"/>
        </w:rPr>
        <w:t>:</w:t>
      </w:r>
    </w:p>
    <w:p w:rsidR="00F058AC" w:rsidRDefault="006617D9" w:rsidP="00B50D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49414C">
        <w:rPr>
          <w:color w:val="000000"/>
          <w:sz w:val="28"/>
          <w:szCs w:val="28"/>
        </w:rPr>
        <w:t>2,</w:t>
      </w:r>
      <w:r w:rsidR="00E53108">
        <w:rPr>
          <w:color w:val="000000"/>
          <w:sz w:val="28"/>
          <w:szCs w:val="28"/>
        </w:rPr>
        <w:t>3</w:t>
      </w:r>
      <w:r w:rsidR="00FD67DA">
        <w:rPr>
          <w:color w:val="000000"/>
          <w:sz w:val="28"/>
          <w:szCs w:val="28"/>
        </w:rPr>
        <w:t xml:space="preserve"> % </w:t>
      </w:r>
      <w:r w:rsidR="0049414C">
        <w:rPr>
          <w:color w:val="000000"/>
          <w:sz w:val="28"/>
          <w:szCs w:val="28"/>
        </w:rPr>
        <w:t>(в 202</w:t>
      </w:r>
      <w:r w:rsidR="00E53108">
        <w:rPr>
          <w:color w:val="000000"/>
          <w:sz w:val="28"/>
          <w:szCs w:val="28"/>
        </w:rPr>
        <w:t>2</w:t>
      </w:r>
      <w:r w:rsidR="00FD67DA" w:rsidRPr="00FD67DA">
        <w:rPr>
          <w:color w:val="000000"/>
          <w:sz w:val="28"/>
          <w:szCs w:val="28"/>
        </w:rPr>
        <w:t xml:space="preserve"> году </w:t>
      </w:r>
      <w:r w:rsidR="00E53108">
        <w:rPr>
          <w:color w:val="000000"/>
          <w:sz w:val="28"/>
          <w:szCs w:val="28"/>
        </w:rPr>
        <w:t>–</w:t>
      </w:r>
      <w:r w:rsidR="00FD67DA" w:rsidRPr="00FD67DA"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2,5</w:t>
      </w:r>
      <w:r w:rsidR="00FD67DA" w:rsidRPr="00FD67DA">
        <w:rPr>
          <w:color w:val="000000"/>
          <w:sz w:val="28"/>
          <w:szCs w:val="28"/>
        </w:rPr>
        <w:t xml:space="preserve"> %)</w:t>
      </w:r>
      <w:r w:rsidR="00FD67DA">
        <w:rPr>
          <w:color w:val="000000"/>
          <w:sz w:val="28"/>
          <w:szCs w:val="28"/>
        </w:rPr>
        <w:t xml:space="preserve"> ответили, что им </w:t>
      </w:r>
      <w:r w:rsidR="00FD67DA" w:rsidRPr="00FD67DA">
        <w:rPr>
          <w:color w:val="000000"/>
          <w:sz w:val="28"/>
          <w:szCs w:val="28"/>
        </w:rPr>
        <w:t>не всегда хватает денег даже на еду</w:t>
      </w:r>
      <w:r w:rsidR="00FD67DA">
        <w:rPr>
          <w:color w:val="000000"/>
          <w:sz w:val="28"/>
          <w:szCs w:val="28"/>
        </w:rPr>
        <w:t xml:space="preserve">; </w:t>
      </w:r>
    </w:p>
    <w:p w:rsidR="00F058AC" w:rsidRDefault="00E53108" w:rsidP="00B50D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17,2</w:t>
      </w:r>
      <w:r w:rsidR="0049414C">
        <w:rPr>
          <w:color w:val="000000"/>
          <w:sz w:val="28"/>
          <w:szCs w:val="28"/>
        </w:rPr>
        <w:t xml:space="preserve"> % (в 202</w:t>
      </w:r>
      <w:r>
        <w:rPr>
          <w:color w:val="000000"/>
          <w:sz w:val="28"/>
          <w:szCs w:val="28"/>
        </w:rPr>
        <w:t>2</w:t>
      </w:r>
      <w:r w:rsidR="00FD67DA" w:rsidRPr="00FD67DA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–</w:t>
      </w:r>
      <w:r w:rsidR="00FD67DA" w:rsidRPr="00FD67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18,8</w:t>
      </w:r>
      <w:r w:rsidR="00FD67DA" w:rsidRPr="00FD67DA">
        <w:rPr>
          <w:color w:val="000000"/>
          <w:sz w:val="28"/>
          <w:szCs w:val="28"/>
        </w:rPr>
        <w:t xml:space="preserve"> %)</w:t>
      </w:r>
      <w:r w:rsidR="00FD67DA">
        <w:rPr>
          <w:color w:val="000000"/>
          <w:sz w:val="28"/>
          <w:szCs w:val="28"/>
        </w:rPr>
        <w:t xml:space="preserve"> что</w:t>
      </w:r>
      <w:r w:rsidR="00FD67DA" w:rsidRPr="00FD67DA">
        <w:rPr>
          <w:color w:val="000000"/>
          <w:sz w:val="28"/>
          <w:szCs w:val="28"/>
        </w:rPr>
        <w:t xml:space="preserve"> достаточно денег на еду, но купить одежду </w:t>
      </w:r>
      <w:r w:rsidR="00F04C65">
        <w:rPr>
          <w:color w:val="000000"/>
          <w:sz w:val="28"/>
          <w:szCs w:val="28"/>
        </w:rPr>
        <w:t>это</w:t>
      </w:r>
      <w:r w:rsidR="00FD67DA" w:rsidRPr="00FD67DA">
        <w:rPr>
          <w:color w:val="000000"/>
          <w:sz w:val="28"/>
          <w:szCs w:val="28"/>
        </w:rPr>
        <w:t xml:space="preserve"> серьезная проблема</w:t>
      </w:r>
      <w:r w:rsidR="00F04C65">
        <w:rPr>
          <w:color w:val="000000"/>
          <w:sz w:val="28"/>
          <w:szCs w:val="28"/>
        </w:rPr>
        <w:t>;</w:t>
      </w:r>
      <w:r w:rsidR="00FD67DA" w:rsidRPr="00FD67DA">
        <w:rPr>
          <w:color w:val="000000"/>
          <w:sz w:val="28"/>
          <w:szCs w:val="28"/>
        </w:rPr>
        <w:t xml:space="preserve">  </w:t>
      </w:r>
    </w:p>
    <w:p w:rsidR="00F058AC" w:rsidRDefault="00897B46" w:rsidP="00B50D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41,4</w:t>
      </w:r>
      <w:r w:rsidR="00FD67DA">
        <w:rPr>
          <w:color w:val="000000"/>
          <w:sz w:val="28"/>
          <w:szCs w:val="28"/>
        </w:rPr>
        <w:t xml:space="preserve"> </w:t>
      </w:r>
      <w:r w:rsidR="006617D9" w:rsidRPr="00CA0FD6">
        <w:rPr>
          <w:color w:val="000000"/>
          <w:sz w:val="28"/>
          <w:szCs w:val="28"/>
        </w:rPr>
        <w:t>%</w:t>
      </w:r>
      <w:r w:rsidR="00FD67DA">
        <w:rPr>
          <w:color w:val="000000"/>
          <w:sz w:val="28"/>
          <w:szCs w:val="28"/>
        </w:rPr>
        <w:t xml:space="preserve"> </w:t>
      </w:r>
      <w:r w:rsidR="0049414C">
        <w:rPr>
          <w:color w:val="000000"/>
          <w:sz w:val="28"/>
          <w:szCs w:val="28"/>
        </w:rPr>
        <w:t>(в 202</w:t>
      </w:r>
      <w:r w:rsidR="00E53108">
        <w:rPr>
          <w:color w:val="000000"/>
          <w:sz w:val="28"/>
          <w:szCs w:val="28"/>
        </w:rPr>
        <w:t>2</w:t>
      </w:r>
      <w:r w:rsidR="00FD67DA" w:rsidRPr="00FD67DA">
        <w:rPr>
          <w:color w:val="000000"/>
          <w:sz w:val="28"/>
          <w:szCs w:val="28"/>
        </w:rPr>
        <w:t xml:space="preserve"> году</w:t>
      </w:r>
      <w:r w:rsidR="00F058AC"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–</w:t>
      </w:r>
      <w:r w:rsidR="0049414C">
        <w:rPr>
          <w:color w:val="000000"/>
          <w:sz w:val="28"/>
          <w:szCs w:val="28"/>
        </w:rPr>
        <w:t xml:space="preserve"> </w:t>
      </w:r>
      <w:r w:rsidR="00E53108">
        <w:rPr>
          <w:color w:val="000000"/>
          <w:sz w:val="28"/>
          <w:szCs w:val="28"/>
        </w:rPr>
        <w:t>43,8</w:t>
      </w:r>
      <w:r w:rsidR="00FD67DA" w:rsidRPr="00FD67DA">
        <w:rPr>
          <w:color w:val="000000"/>
          <w:sz w:val="28"/>
          <w:szCs w:val="28"/>
        </w:rPr>
        <w:t xml:space="preserve"> %) </w:t>
      </w:r>
      <w:r w:rsidR="006617D9" w:rsidRPr="00CA0FD6">
        <w:rPr>
          <w:color w:val="000000"/>
          <w:sz w:val="28"/>
          <w:szCs w:val="28"/>
        </w:rPr>
        <w:t xml:space="preserve"> </w:t>
      </w:r>
      <w:proofErr w:type="gramStart"/>
      <w:r w:rsidR="006617D9" w:rsidRPr="00CA0FD6">
        <w:rPr>
          <w:color w:val="000000"/>
          <w:sz w:val="28"/>
          <w:szCs w:val="28"/>
        </w:rPr>
        <w:t>опрошенных</w:t>
      </w:r>
      <w:proofErr w:type="gramEnd"/>
      <w:r w:rsidR="006617D9" w:rsidRPr="00CA0FD6">
        <w:rPr>
          <w:color w:val="000000"/>
          <w:sz w:val="28"/>
          <w:szCs w:val="28"/>
        </w:rPr>
        <w:t xml:space="preserve"> ответили</w:t>
      </w:r>
      <w:r w:rsidR="006617D9">
        <w:rPr>
          <w:color w:val="000000"/>
          <w:sz w:val="28"/>
          <w:szCs w:val="28"/>
        </w:rPr>
        <w:t xml:space="preserve">, </w:t>
      </w:r>
      <w:r w:rsidR="006617D9" w:rsidRPr="00CA0FD6">
        <w:rPr>
          <w:color w:val="000000"/>
          <w:sz w:val="28"/>
          <w:szCs w:val="28"/>
        </w:rPr>
        <w:t xml:space="preserve">что им </w:t>
      </w:r>
      <w:r w:rsidR="006617D9" w:rsidRPr="00CA0FD6">
        <w:rPr>
          <w:sz w:val="28"/>
          <w:szCs w:val="28"/>
        </w:rPr>
        <w:t xml:space="preserve">хватает на еду и одежду, но для покупки импортного холодильника или стиральной </w:t>
      </w:r>
      <w:proofErr w:type="spellStart"/>
      <w:r w:rsidR="006617D9" w:rsidRPr="00CA0FD6">
        <w:rPr>
          <w:sz w:val="28"/>
          <w:szCs w:val="28"/>
        </w:rPr>
        <w:t>машины-автомат</w:t>
      </w:r>
      <w:proofErr w:type="spellEnd"/>
      <w:r w:rsidR="006617D9" w:rsidRPr="00CA0FD6">
        <w:rPr>
          <w:sz w:val="28"/>
          <w:szCs w:val="28"/>
        </w:rPr>
        <w:t xml:space="preserve">, пришлось бы копить или брать в долг/ кредит; </w:t>
      </w:r>
    </w:p>
    <w:p w:rsidR="00F058AC" w:rsidRDefault="00897B46" w:rsidP="00B50D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29,9</w:t>
      </w:r>
      <w:r w:rsidR="00FD67DA">
        <w:rPr>
          <w:sz w:val="28"/>
          <w:szCs w:val="28"/>
        </w:rPr>
        <w:t xml:space="preserve"> </w:t>
      </w:r>
      <w:r w:rsidR="006617D9" w:rsidRPr="00CA0FD6">
        <w:rPr>
          <w:sz w:val="28"/>
          <w:szCs w:val="28"/>
        </w:rPr>
        <w:t>%</w:t>
      </w:r>
      <w:r w:rsidR="00FD67DA">
        <w:rPr>
          <w:sz w:val="28"/>
          <w:szCs w:val="28"/>
        </w:rPr>
        <w:t xml:space="preserve"> </w:t>
      </w:r>
      <w:r w:rsidR="0049414C">
        <w:rPr>
          <w:sz w:val="28"/>
          <w:szCs w:val="28"/>
        </w:rPr>
        <w:t>(в 202</w:t>
      </w:r>
      <w:r w:rsidR="00E53108">
        <w:rPr>
          <w:sz w:val="28"/>
          <w:szCs w:val="28"/>
        </w:rPr>
        <w:t>2</w:t>
      </w:r>
      <w:r w:rsidR="00FD67DA" w:rsidRPr="00FD67DA">
        <w:rPr>
          <w:sz w:val="28"/>
          <w:szCs w:val="28"/>
        </w:rPr>
        <w:t xml:space="preserve"> году </w:t>
      </w:r>
      <w:r w:rsidR="00E53108">
        <w:rPr>
          <w:sz w:val="28"/>
          <w:szCs w:val="28"/>
        </w:rPr>
        <w:t>–</w:t>
      </w:r>
      <w:r w:rsidR="00FD67DA" w:rsidRPr="00FD67DA">
        <w:rPr>
          <w:sz w:val="28"/>
          <w:szCs w:val="28"/>
        </w:rPr>
        <w:t xml:space="preserve"> </w:t>
      </w:r>
      <w:r w:rsidR="00E53108">
        <w:rPr>
          <w:sz w:val="28"/>
          <w:szCs w:val="28"/>
        </w:rPr>
        <w:t>28,8</w:t>
      </w:r>
      <w:r w:rsidR="00FD67DA" w:rsidRPr="00FD67DA">
        <w:rPr>
          <w:sz w:val="28"/>
          <w:szCs w:val="28"/>
        </w:rPr>
        <w:t xml:space="preserve"> %) </w:t>
      </w:r>
      <w:r w:rsidR="006617D9" w:rsidRPr="00CA0FD6">
        <w:rPr>
          <w:sz w:val="28"/>
          <w:szCs w:val="28"/>
        </w:rPr>
        <w:t xml:space="preserve"> </w:t>
      </w:r>
      <w:r w:rsidR="006617D9">
        <w:rPr>
          <w:sz w:val="28"/>
          <w:szCs w:val="28"/>
        </w:rPr>
        <w:t xml:space="preserve">ответили, что </w:t>
      </w:r>
      <w:r w:rsidR="006617D9" w:rsidRPr="00CA0FD6">
        <w:rPr>
          <w:sz w:val="28"/>
          <w:szCs w:val="28"/>
        </w:rPr>
        <w:t>в случае необходимости мы можем купить основную бытовую технику и без привлечения заемных средств, но автомобиль для нас – непозволительная роскошь;</w:t>
      </w:r>
    </w:p>
    <w:p w:rsidR="00DB5769" w:rsidRDefault="006617D9" w:rsidP="00F058AC">
      <w:pPr>
        <w:shd w:val="clear" w:color="auto" w:fill="FFFFFF"/>
        <w:ind w:firstLine="709"/>
        <w:jc w:val="both"/>
        <w:rPr>
          <w:sz w:val="28"/>
          <w:szCs w:val="28"/>
        </w:rPr>
      </w:pPr>
      <w:r w:rsidRPr="00CA0FD6">
        <w:rPr>
          <w:sz w:val="28"/>
          <w:szCs w:val="28"/>
        </w:rPr>
        <w:t xml:space="preserve"> </w:t>
      </w:r>
      <w:r w:rsidR="00897B46">
        <w:rPr>
          <w:sz w:val="28"/>
          <w:szCs w:val="28"/>
        </w:rPr>
        <w:t>8,0</w:t>
      </w:r>
      <w:r w:rsidR="00FD67DA">
        <w:rPr>
          <w:sz w:val="28"/>
          <w:szCs w:val="28"/>
        </w:rPr>
        <w:t xml:space="preserve"> </w:t>
      </w:r>
      <w:r w:rsidRPr="00CA0FD6">
        <w:rPr>
          <w:sz w:val="28"/>
          <w:szCs w:val="28"/>
        </w:rPr>
        <w:t>%</w:t>
      </w:r>
      <w:r w:rsidR="00FD67DA">
        <w:rPr>
          <w:sz w:val="28"/>
          <w:szCs w:val="28"/>
        </w:rPr>
        <w:t xml:space="preserve"> </w:t>
      </w:r>
      <w:r w:rsidR="0049414C">
        <w:rPr>
          <w:sz w:val="28"/>
          <w:szCs w:val="28"/>
        </w:rPr>
        <w:t>(в 202</w:t>
      </w:r>
      <w:r w:rsidR="00E53108">
        <w:rPr>
          <w:sz w:val="28"/>
          <w:szCs w:val="28"/>
        </w:rPr>
        <w:t>2</w:t>
      </w:r>
      <w:r w:rsidR="00FD67DA" w:rsidRPr="00FD67DA">
        <w:rPr>
          <w:sz w:val="28"/>
          <w:szCs w:val="28"/>
        </w:rPr>
        <w:t xml:space="preserve"> году </w:t>
      </w:r>
      <w:r w:rsidR="00E53108">
        <w:rPr>
          <w:sz w:val="28"/>
          <w:szCs w:val="28"/>
        </w:rPr>
        <w:t>–</w:t>
      </w:r>
      <w:r w:rsidR="00FD67DA" w:rsidRPr="00FD67DA">
        <w:rPr>
          <w:sz w:val="28"/>
          <w:szCs w:val="28"/>
        </w:rPr>
        <w:t xml:space="preserve"> </w:t>
      </w:r>
      <w:r w:rsidR="00E53108">
        <w:rPr>
          <w:sz w:val="28"/>
          <w:szCs w:val="28"/>
        </w:rPr>
        <w:t>6,3</w:t>
      </w:r>
      <w:r w:rsidR="00FD67DA" w:rsidRPr="00FD67DA">
        <w:rPr>
          <w:sz w:val="28"/>
          <w:szCs w:val="28"/>
        </w:rPr>
        <w:t xml:space="preserve"> %) </w:t>
      </w:r>
      <w:r w:rsidRPr="00CA0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ответили, что </w:t>
      </w:r>
      <w:r w:rsidRPr="00CA0FD6">
        <w:rPr>
          <w:sz w:val="28"/>
          <w:szCs w:val="28"/>
        </w:rPr>
        <w:t>можем позволить себе очень многое, но в ближайшем будущем не смогли бы самостоятельно накопить даже на о</w:t>
      </w:r>
      <w:r w:rsidR="00F058AC">
        <w:rPr>
          <w:sz w:val="28"/>
          <w:szCs w:val="28"/>
        </w:rPr>
        <w:t>днокомнатную квартиру</w:t>
      </w:r>
      <w:r w:rsidR="00897B46">
        <w:rPr>
          <w:sz w:val="28"/>
          <w:szCs w:val="28"/>
        </w:rPr>
        <w:t>. Число опрошенных</w:t>
      </w:r>
      <w:r w:rsidR="00FD67DA">
        <w:rPr>
          <w:sz w:val="28"/>
          <w:szCs w:val="28"/>
        </w:rPr>
        <w:t xml:space="preserve"> утверждающих</w:t>
      </w:r>
      <w:r w:rsidR="00897B46">
        <w:rPr>
          <w:sz w:val="28"/>
          <w:szCs w:val="28"/>
        </w:rPr>
        <w:t>,</w:t>
      </w:r>
      <w:r w:rsidR="00FD67DA">
        <w:rPr>
          <w:sz w:val="28"/>
          <w:szCs w:val="28"/>
        </w:rPr>
        <w:t xml:space="preserve"> что у них</w:t>
      </w:r>
      <w:r w:rsidR="00FD67DA" w:rsidRPr="00FD67DA">
        <w:rPr>
          <w:sz w:val="28"/>
          <w:szCs w:val="28"/>
        </w:rPr>
        <w:t xml:space="preserve"> </w:t>
      </w:r>
      <w:r w:rsidR="00FD67DA">
        <w:rPr>
          <w:sz w:val="28"/>
          <w:szCs w:val="28"/>
        </w:rPr>
        <w:t>нет</w:t>
      </w:r>
      <w:r w:rsidRPr="00CA0FD6">
        <w:rPr>
          <w:sz w:val="28"/>
          <w:szCs w:val="28"/>
        </w:rPr>
        <w:t xml:space="preserve"> никаких финан</w:t>
      </w:r>
      <w:r>
        <w:rPr>
          <w:sz w:val="28"/>
          <w:szCs w:val="28"/>
        </w:rPr>
        <w:t>совых затруднений, п</w:t>
      </w:r>
      <w:r w:rsidRPr="00CA0FD6">
        <w:rPr>
          <w:sz w:val="28"/>
          <w:szCs w:val="28"/>
        </w:rPr>
        <w:t>ри необходимости мы сможем купить квар</w:t>
      </w:r>
      <w:r w:rsidR="0049414C">
        <w:rPr>
          <w:sz w:val="28"/>
          <w:szCs w:val="28"/>
        </w:rPr>
        <w:t xml:space="preserve">тиру или дом, </w:t>
      </w:r>
      <w:r w:rsidR="00897B46">
        <w:rPr>
          <w:sz w:val="28"/>
          <w:szCs w:val="28"/>
        </w:rPr>
        <w:t>составило 1 %</w:t>
      </w:r>
      <w:r w:rsidR="0049414C">
        <w:rPr>
          <w:sz w:val="28"/>
          <w:szCs w:val="28"/>
        </w:rPr>
        <w:t>.</w:t>
      </w:r>
    </w:p>
    <w:p w:rsidR="0049414C" w:rsidRPr="00F058AC" w:rsidRDefault="0049414C" w:rsidP="00F058A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B8429B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материального положения населения не</w:t>
      </w:r>
      <w:r w:rsidR="00B8429B">
        <w:rPr>
          <w:sz w:val="28"/>
          <w:szCs w:val="28"/>
        </w:rPr>
        <w:t>значительно изменили</w:t>
      </w:r>
      <w:r w:rsidR="00897B46">
        <w:rPr>
          <w:sz w:val="28"/>
          <w:szCs w:val="28"/>
        </w:rPr>
        <w:t>сь</w:t>
      </w:r>
      <w:r>
        <w:rPr>
          <w:sz w:val="28"/>
          <w:szCs w:val="28"/>
        </w:rPr>
        <w:t xml:space="preserve"> по сравнению с 202</w:t>
      </w:r>
      <w:r w:rsidR="00897B4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годом.</w:t>
      </w:r>
    </w:p>
    <w:p w:rsidR="00C82B55" w:rsidRDefault="00AC2AB6" w:rsidP="00C82B55">
      <w:pPr>
        <w:pStyle w:val="a7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DB5769">
        <w:rPr>
          <w:b/>
          <w:sz w:val="28"/>
          <w:szCs w:val="28"/>
        </w:rPr>
        <w:t>Мониторинг востребованности финансовых услуг</w:t>
      </w:r>
      <w:r w:rsidR="00903992">
        <w:rPr>
          <w:b/>
          <w:sz w:val="28"/>
          <w:szCs w:val="28"/>
        </w:rPr>
        <w:t xml:space="preserve"> </w:t>
      </w:r>
      <w:r w:rsidRPr="00AD1A96">
        <w:rPr>
          <w:b/>
          <w:sz w:val="28"/>
          <w:szCs w:val="28"/>
        </w:rPr>
        <w:t xml:space="preserve">за </w:t>
      </w:r>
      <w:proofErr w:type="gramStart"/>
      <w:r w:rsidRPr="00AD1A96">
        <w:rPr>
          <w:b/>
          <w:sz w:val="28"/>
          <w:szCs w:val="28"/>
        </w:rPr>
        <w:t>последние</w:t>
      </w:r>
      <w:proofErr w:type="gramEnd"/>
      <w:r w:rsidRPr="00AD1A96">
        <w:rPr>
          <w:b/>
          <w:sz w:val="28"/>
          <w:szCs w:val="28"/>
        </w:rPr>
        <w:t xml:space="preserve"> 12 месяце</w:t>
      </w:r>
      <w:r w:rsidR="00C82B55">
        <w:rPr>
          <w:b/>
          <w:sz w:val="28"/>
          <w:szCs w:val="28"/>
        </w:rPr>
        <w:t>в.</w:t>
      </w:r>
    </w:p>
    <w:p w:rsidR="00C82B55" w:rsidRDefault="002E241A" w:rsidP="00C82B55">
      <w:pPr>
        <w:pStyle w:val="a7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82B55" w:rsidRPr="00660E17">
        <w:rPr>
          <w:color w:val="000000"/>
          <w:sz w:val="28"/>
          <w:szCs w:val="28"/>
        </w:rPr>
        <w:t>По результатам исследования 20</w:t>
      </w:r>
      <w:r w:rsidR="00B8429B">
        <w:rPr>
          <w:color w:val="000000"/>
          <w:sz w:val="28"/>
          <w:szCs w:val="28"/>
        </w:rPr>
        <w:t>2</w:t>
      </w:r>
      <w:r w:rsidR="00897B46">
        <w:rPr>
          <w:color w:val="000000"/>
          <w:sz w:val="28"/>
          <w:szCs w:val="28"/>
        </w:rPr>
        <w:t>3</w:t>
      </w:r>
      <w:r w:rsidR="00C82B55">
        <w:rPr>
          <w:color w:val="000000"/>
          <w:sz w:val="28"/>
          <w:szCs w:val="28"/>
        </w:rPr>
        <w:t xml:space="preserve"> </w:t>
      </w:r>
      <w:r w:rsidR="00C82B55" w:rsidRPr="00660E17">
        <w:rPr>
          <w:color w:val="000000"/>
          <w:sz w:val="28"/>
          <w:szCs w:val="28"/>
        </w:rPr>
        <w:t xml:space="preserve"> года, </w:t>
      </w:r>
      <w:r w:rsidR="00B20FD2">
        <w:rPr>
          <w:color w:val="000000"/>
          <w:sz w:val="28"/>
          <w:szCs w:val="28"/>
        </w:rPr>
        <w:t xml:space="preserve">ситуация в сравнении с прошлым годам </w:t>
      </w:r>
      <w:r w:rsidR="00903CD9">
        <w:rPr>
          <w:color w:val="000000"/>
          <w:sz w:val="28"/>
          <w:szCs w:val="28"/>
        </w:rPr>
        <w:t xml:space="preserve">существенно не </w:t>
      </w:r>
      <w:r w:rsidR="00B20FD2">
        <w:rPr>
          <w:color w:val="000000"/>
          <w:sz w:val="28"/>
          <w:szCs w:val="28"/>
        </w:rPr>
        <w:t xml:space="preserve">поменялась и </w:t>
      </w:r>
      <w:r w:rsidR="00C82B55" w:rsidRPr="00660E17">
        <w:rPr>
          <w:color w:val="000000"/>
          <w:sz w:val="28"/>
          <w:szCs w:val="28"/>
        </w:rPr>
        <w:t xml:space="preserve">наиболее </w:t>
      </w:r>
      <w:r w:rsidR="00C82B55">
        <w:rPr>
          <w:color w:val="000000"/>
          <w:sz w:val="28"/>
          <w:szCs w:val="28"/>
        </w:rPr>
        <w:t>востребованными финансовыми услугами</w:t>
      </w:r>
      <w:r w:rsidR="00C82B55" w:rsidRPr="00660E17">
        <w:rPr>
          <w:color w:val="000000"/>
          <w:sz w:val="28"/>
          <w:szCs w:val="28"/>
        </w:rPr>
        <w:t xml:space="preserve"> </w:t>
      </w:r>
      <w:r w:rsidR="00B20FD2">
        <w:rPr>
          <w:color w:val="000000"/>
          <w:sz w:val="28"/>
          <w:szCs w:val="28"/>
        </w:rPr>
        <w:t>респонденты назвали</w:t>
      </w:r>
      <w:r w:rsidR="00C82B55" w:rsidRPr="00660E17">
        <w:rPr>
          <w:color w:val="000000"/>
          <w:sz w:val="28"/>
          <w:szCs w:val="28"/>
        </w:rPr>
        <w:t xml:space="preserve"> </w:t>
      </w:r>
      <w:r w:rsidR="00C82B55">
        <w:rPr>
          <w:color w:val="000000"/>
          <w:sz w:val="28"/>
          <w:szCs w:val="28"/>
        </w:rPr>
        <w:t>банковские вклады</w:t>
      </w:r>
      <w:r w:rsidR="00903CD9">
        <w:rPr>
          <w:color w:val="000000"/>
          <w:sz w:val="28"/>
          <w:szCs w:val="28"/>
        </w:rPr>
        <w:t xml:space="preserve"> 37,</w:t>
      </w:r>
      <w:r w:rsidR="00897B46">
        <w:rPr>
          <w:color w:val="000000"/>
          <w:sz w:val="28"/>
          <w:szCs w:val="28"/>
        </w:rPr>
        <w:t>9</w:t>
      </w:r>
      <w:r w:rsidR="00B8429B">
        <w:rPr>
          <w:color w:val="000000"/>
          <w:sz w:val="28"/>
          <w:szCs w:val="28"/>
        </w:rPr>
        <w:t xml:space="preserve"> % (в 202</w:t>
      </w:r>
      <w:r w:rsidR="00897B46">
        <w:rPr>
          <w:color w:val="000000"/>
          <w:sz w:val="28"/>
          <w:szCs w:val="28"/>
        </w:rPr>
        <w:t>2</w:t>
      </w:r>
      <w:r w:rsidR="00B20FD2">
        <w:rPr>
          <w:color w:val="000000"/>
          <w:sz w:val="28"/>
          <w:szCs w:val="28"/>
        </w:rPr>
        <w:t xml:space="preserve"> году </w:t>
      </w:r>
      <w:r w:rsidR="00B8429B">
        <w:rPr>
          <w:color w:val="000000"/>
          <w:sz w:val="28"/>
          <w:szCs w:val="28"/>
        </w:rPr>
        <w:t>– 37,</w:t>
      </w:r>
      <w:r w:rsidR="00897B46">
        <w:rPr>
          <w:color w:val="000000"/>
          <w:sz w:val="28"/>
          <w:szCs w:val="28"/>
        </w:rPr>
        <w:t>5</w:t>
      </w:r>
      <w:r w:rsidR="00B20FD2">
        <w:rPr>
          <w:color w:val="000000"/>
          <w:sz w:val="28"/>
          <w:szCs w:val="28"/>
        </w:rPr>
        <w:t xml:space="preserve"> %)</w:t>
      </w:r>
      <w:r>
        <w:rPr>
          <w:color w:val="000000"/>
          <w:sz w:val="28"/>
          <w:szCs w:val="28"/>
        </w:rPr>
        <w:t xml:space="preserve">. Наиболее наглядно </w:t>
      </w:r>
      <w:proofErr w:type="spellStart"/>
      <w:r>
        <w:rPr>
          <w:color w:val="000000"/>
          <w:sz w:val="28"/>
          <w:szCs w:val="28"/>
        </w:rPr>
        <w:t>востебованность</w:t>
      </w:r>
      <w:proofErr w:type="spellEnd"/>
      <w:r>
        <w:rPr>
          <w:color w:val="000000"/>
          <w:sz w:val="28"/>
          <w:szCs w:val="28"/>
        </w:rPr>
        <w:t xml:space="preserve"> финансовых услуг за </w:t>
      </w:r>
      <w:proofErr w:type="gramStart"/>
      <w:r>
        <w:rPr>
          <w:color w:val="000000"/>
          <w:sz w:val="28"/>
          <w:szCs w:val="28"/>
        </w:rPr>
        <w:t>последние</w:t>
      </w:r>
      <w:proofErr w:type="gramEnd"/>
      <w:r>
        <w:rPr>
          <w:color w:val="000000"/>
          <w:sz w:val="28"/>
          <w:szCs w:val="28"/>
        </w:rPr>
        <w:t xml:space="preserve"> 12 месяцев можно увидеть на рисунке 51.</w:t>
      </w:r>
    </w:p>
    <w:p w:rsidR="00AC2AB6" w:rsidRPr="001A1D34" w:rsidRDefault="00213448" w:rsidP="00653E64">
      <w:pPr>
        <w:pStyle w:val="a7"/>
        <w:ind w:left="0"/>
        <w:jc w:val="right"/>
        <w:rPr>
          <w:b/>
          <w:sz w:val="28"/>
          <w:szCs w:val="28"/>
        </w:rPr>
      </w:pPr>
      <w:r w:rsidRPr="001A1D34">
        <w:rPr>
          <w:sz w:val="28"/>
          <w:szCs w:val="28"/>
        </w:rPr>
        <w:tab/>
      </w:r>
      <w:r w:rsidR="00653E64">
        <w:rPr>
          <w:sz w:val="28"/>
          <w:szCs w:val="28"/>
        </w:rPr>
        <w:t>Рисунок 51.</w:t>
      </w:r>
      <w:r w:rsidR="008C35BA" w:rsidRPr="008C35BA">
        <w:rPr>
          <w:noProof/>
        </w:rPr>
        <w:drawing>
          <wp:inline distT="0" distB="0" distL="0" distR="0">
            <wp:extent cx="6248400" cy="45720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54389C" w:rsidRPr="00E738E2" w:rsidRDefault="0054389C" w:rsidP="00B50DD8">
      <w:pPr>
        <w:jc w:val="both"/>
        <w:rPr>
          <w:b/>
          <w:sz w:val="28"/>
          <w:szCs w:val="28"/>
        </w:rPr>
      </w:pPr>
    </w:p>
    <w:p w:rsidR="001235FD" w:rsidRDefault="001235FD" w:rsidP="001235F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опроса з</w:t>
      </w:r>
      <w:r w:rsidRPr="001E6C79">
        <w:rPr>
          <w:sz w:val="28"/>
          <w:szCs w:val="28"/>
        </w:rPr>
        <w:t xml:space="preserve">а последние 12 месяцев </w:t>
      </w:r>
      <w:r w:rsidR="0096618C">
        <w:rPr>
          <w:sz w:val="28"/>
          <w:szCs w:val="28"/>
        </w:rPr>
        <w:t xml:space="preserve">у принявших участие </w:t>
      </w:r>
      <w:r w:rsidRPr="001E6C79">
        <w:rPr>
          <w:sz w:val="28"/>
          <w:szCs w:val="28"/>
        </w:rPr>
        <w:t>респо</w:t>
      </w:r>
      <w:r w:rsidR="0096618C">
        <w:rPr>
          <w:sz w:val="28"/>
          <w:szCs w:val="28"/>
        </w:rPr>
        <w:t>ндентов наиболее вост</w:t>
      </w:r>
      <w:r w:rsidR="0049154E">
        <w:rPr>
          <w:sz w:val="28"/>
          <w:szCs w:val="28"/>
        </w:rPr>
        <w:t>ребованными были</w:t>
      </w:r>
      <w:r w:rsidRPr="001E6C79">
        <w:rPr>
          <w:sz w:val="28"/>
          <w:szCs w:val="28"/>
        </w:rPr>
        <w:t>: и</w:t>
      </w:r>
      <w:r w:rsidR="007F3EAE">
        <w:rPr>
          <w:sz w:val="28"/>
          <w:szCs w:val="28"/>
        </w:rPr>
        <w:t>ны</w:t>
      </w:r>
      <w:r w:rsidR="00382771">
        <w:rPr>
          <w:sz w:val="28"/>
          <w:szCs w:val="28"/>
        </w:rPr>
        <w:t>е</w:t>
      </w:r>
      <w:r w:rsidRPr="001E6C79">
        <w:rPr>
          <w:sz w:val="28"/>
          <w:szCs w:val="28"/>
        </w:rPr>
        <w:t xml:space="preserve"> кредит</w:t>
      </w:r>
      <w:r w:rsidR="00382771">
        <w:rPr>
          <w:sz w:val="28"/>
          <w:szCs w:val="28"/>
        </w:rPr>
        <w:t>ы в банке, не являющиеся</w:t>
      </w:r>
      <w:r w:rsidR="007F3EAE">
        <w:rPr>
          <w:sz w:val="28"/>
          <w:szCs w:val="28"/>
        </w:rPr>
        <w:t xml:space="preserve"> онлайн-кредитами</w:t>
      </w:r>
      <w:r w:rsidRPr="001E6C79">
        <w:rPr>
          <w:sz w:val="28"/>
          <w:szCs w:val="28"/>
        </w:rPr>
        <w:t xml:space="preserve"> </w:t>
      </w:r>
      <w:r w:rsidR="007F3EAE">
        <w:rPr>
          <w:sz w:val="28"/>
          <w:szCs w:val="28"/>
        </w:rPr>
        <w:t>–</w:t>
      </w:r>
      <w:r w:rsidRPr="001E6C79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64,4</w:t>
      </w:r>
      <w:r w:rsidR="0096618C">
        <w:rPr>
          <w:sz w:val="28"/>
          <w:szCs w:val="28"/>
        </w:rPr>
        <w:t xml:space="preserve"> </w:t>
      </w:r>
      <w:r w:rsidRPr="001E6C79">
        <w:rPr>
          <w:sz w:val="28"/>
          <w:szCs w:val="28"/>
        </w:rPr>
        <w:t>%</w:t>
      </w:r>
      <w:r w:rsidR="0096618C">
        <w:rPr>
          <w:sz w:val="28"/>
          <w:szCs w:val="28"/>
        </w:rPr>
        <w:t xml:space="preserve"> </w:t>
      </w:r>
      <w:r w:rsidR="007F3EAE">
        <w:rPr>
          <w:sz w:val="28"/>
          <w:szCs w:val="28"/>
        </w:rPr>
        <w:t>(в 202</w:t>
      </w:r>
      <w:r w:rsidR="005B4453">
        <w:rPr>
          <w:sz w:val="28"/>
          <w:szCs w:val="28"/>
        </w:rPr>
        <w:t>2</w:t>
      </w:r>
      <w:r w:rsidR="0096618C" w:rsidRPr="0096618C">
        <w:rPr>
          <w:sz w:val="28"/>
          <w:szCs w:val="28"/>
        </w:rPr>
        <w:t xml:space="preserve"> году </w:t>
      </w:r>
      <w:r w:rsidR="005B4453">
        <w:rPr>
          <w:sz w:val="28"/>
          <w:szCs w:val="28"/>
        </w:rPr>
        <w:t>–</w:t>
      </w:r>
      <w:r w:rsidR="007F3EAE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63,8</w:t>
      </w:r>
      <w:r w:rsidR="0096618C" w:rsidRPr="0096618C">
        <w:rPr>
          <w:sz w:val="28"/>
          <w:szCs w:val="28"/>
        </w:rPr>
        <w:t xml:space="preserve"> %)</w:t>
      </w:r>
      <w:r w:rsidRPr="001E6C79">
        <w:rPr>
          <w:sz w:val="28"/>
          <w:szCs w:val="28"/>
        </w:rPr>
        <w:t xml:space="preserve">, </w:t>
      </w:r>
      <w:r w:rsidR="00382771">
        <w:rPr>
          <w:sz w:val="28"/>
          <w:szCs w:val="28"/>
        </w:rPr>
        <w:t xml:space="preserve"> </w:t>
      </w:r>
      <w:r w:rsidRPr="001E6C79">
        <w:rPr>
          <w:sz w:val="28"/>
          <w:szCs w:val="28"/>
        </w:rPr>
        <w:t>использовали кредитный лимит</w:t>
      </w:r>
      <w:r w:rsidR="00382771">
        <w:rPr>
          <w:sz w:val="28"/>
          <w:szCs w:val="28"/>
        </w:rPr>
        <w:t xml:space="preserve"> по кредитной карте</w:t>
      </w:r>
      <w:r w:rsidR="007F3EAE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44,8</w:t>
      </w:r>
      <w:r w:rsidR="007F3EAE" w:rsidRPr="001E6C79">
        <w:rPr>
          <w:sz w:val="28"/>
          <w:szCs w:val="28"/>
        </w:rPr>
        <w:t>%</w:t>
      </w:r>
      <w:r w:rsidR="007F3EAE">
        <w:rPr>
          <w:sz w:val="28"/>
          <w:szCs w:val="28"/>
        </w:rPr>
        <w:t xml:space="preserve"> (в 202</w:t>
      </w:r>
      <w:r w:rsidR="005B4453">
        <w:rPr>
          <w:sz w:val="28"/>
          <w:szCs w:val="28"/>
        </w:rPr>
        <w:t>2</w:t>
      </w:r>
      <w:r w:rsidR="007F3EAE" w:rsidRPr="0096618C">
        <w:rPr>
          <w:sz w:val="28"/>
          <w:szCs w:val="28"/>
        </w:rPr>
        <w:t xml:space="preserve"> году </w:t>
      </w:r>
      <w:r w:rsidR="005B4453">
        <w:rPr>
          <w:sz w:val="28"/>
          <w:szCs w:val="28"/>
        </w:rPr>
        <w:t>–</w:t>
      </w:r>
      <w:r w:rsidR="007F3EAE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46,3</w:t>
      </w:r>
      <w:r w:rsidR="007F3EAE" w:rsidRPr="0096618C">
        <w:rPr>
          <w:sz w:val="28"/>
          <w:szCs w:val="28"/>
        </w:rPr>
        <w:t xml:space="preserve"> %</w:t>
      </w:r>
      <w:r w:rsidR="007F3EAE">
        <w:rPr>
          <w:sz w:val="28"/>
          <w:szCs w:val="28"/>
        </w:rPr>
        <w:t xml:space="preserve">) </w:t>
      </w:r>
      <w:r w:rsidR="00446AC1" w:rsidRPr="001E6C79">
        <w:rPr>
          <w:sz w:val="28"/>
          <w:szCs w:val="28"/>
        </w:rPr>
        <w:t>онлайн-кредит</w:t>
      </w:r>
      <w:r w:rsidR="007F3EAE">
        <w:rPr>
          <w:sz w:val="28"/>
          <w:szCs w:val="28"/>
        </w:rPr>
        <w:t>ами</w:t>
      </w:r>
      <w:r w:rsidR="00446AC1" w:rsidRPr="001E6C79">
        <w:rPr>
          <w:sz w:val="28"/>
          <w:szCs w:val="28"/>
        </w:rPr>
        <w:t xml:space="preserve"> в банке (договор заключен с использованием информационно-телекоммуникационной сети «Интернет», сумма кредита предоставлена получателю услуги в безналичной форме) </w:t>
      </w:r>
      <w:r w:rsidR="007F3EAE">
        <w:rPr>
          <w:sz w:val="28"/>
          <w:szCs w:val="28"/>
        </w:rPr>
        <w:t xml:space="preserve">пользовались </w:t>
      </w:r>
      <w:r w:rsidR="00446AC1" w:rsidRPr="001E6C79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35,6</w:t>
      </w:r>
      <w:r w:rsidR="007F3EAE">
        <w:rPr>
          <w:sz w:val="28"/>
          <w:szCs w:val="28"/>
        </w:rPr>
        <w:t xml:space="preserve"> </w:t>
      </w:r>
      <w:r w:rsidR="00446AC1" w:rsidRPr="001E6C79">
        <w:rPr>
          <w:sz w:val="28"/>
          <w:szCs w:val="28"/>
        </w:rPr>
        <w:t>%</w:t>
      </w:r>
      <w:r w:rsidR="007F3EAE">
        <w:rPr>
          <w:sz w:val="28"/>
          <w:szCs w:val="28"/>
        </w:rPr>
        <w:t xml:space="preserve">   (в 202</w:t>
      </w:r>
      <w:r w:rsidR="005B4453">
        <w:rPr>
          <w:sz w:val="28"/>
          <w:szCs w:val="28"/>
        </w:rPr>
        <w:t>2</w:t>
      </w:r>
      <w:r w:rsidR="007F3EAE">
        <w:rPr>
          <w:sz w:val="28"/>
          <w:szCs w:val="28"/>
        </w:rPr>
        <w:t xml:space="preserve"> году</w:t>
      </w:r>
      <w:proofErr w:type="gramEnd"/>
      <w:r w:rsidR="007F3EAE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–</w:t>
      </w:r>
      <w:r w:rsidR="007F3EAE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33,8</w:t>
      </w:r>
      <w:r w:rsidR="00446AC1">
        <w:rPr>
          <w:sz w:val="28"/>
          <w:szCs w:val="28"/>
        </w:rPr>
        <w:t xml:space="preserve"> %)</w:t>
      </w:r>
      <w:r w:rsidR="007F3EAE">
        <w:rPr>
          <w:sz w:val="28"/>
          <w:szCs w:val="28"/>
        </w:rPr>
        <w:t>.</w:t>
      </w:r>
    </w:p>
    <w:p w:rsidR="001235FD" w:rsidRDefault="001235FD" w:rsidP="001235FD">
      <w:pPr>
        <w:ind w:firstLine="709"/>
        <w:jc w:val="both"/>
        <w:rPr>
          <w:sz w:val="28"/>
          <w:szCs w:val="28"/>
        </w:rPr>
      </w:pPr>
      <w:proofErr w:type="gramStart"/>
      <w:r w:rsidRPr="00CD74AF">
        <w:rPr>
          <w:sz w:val="28"/>
          <w:szCs w:val="28"/>
        </w:rPr>
        <w:t>За последние 12 месяцев респонденты пользовались следующими платежными картами:</w:t>
      </w:r>
      <w:r w:rsidRPr="00CD74AF">
        <w:t xml:space="preserve"> </w:t>
      </w:r>
      <w:r w:rsidRPr="00CD74AF">
        <w:rPr>
          <w:sz w:val="28"/>
          <w:szCs w:val="28"/>
        </w:rPr>
        <w:t xml:space="preserve">банковская карта, предназначенная для выплаты сотруднику заработной платы и других денежных начислений </w:t>
      </w:r>
      <w:r w:rsidR="005E6031">
        <w:rPr>
          <w:sz w:val="28"/>
          <w:szCs w:val="28"/>
        </w:rPr>
        <w:t>–</w:t>
      </w:r>
      <w:r w:rsidRPr="00CD74AF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67,8</w:t>
      </w:r>
      <w:r w:rsidR="00385DF9">
        <w:rPr>
          <w:sz w:val="28"/>
          <w:szCs w:val="28"/>
        </w:rPr>
        <w:t xml:space="preserve"> </w:t>
      </w:r>
      <w:r w:rsidR="005E6031">
        <w:rPr>
          <w:sz w:val="28"/>
          <w:szCs w:val="28"/>
        </w:rPr>
        <w:t>% (в 202</w:t>
      </w:r>
      <w:r w:rsidR="005B4453">
        <w:rPr>
          <w:sz w:val="28"/>
          <w:szCs w:val="28"/>
        </w:rPr>
        <w:t>2</w:t>
      </w:r>
      <w:r w:rsidR="00385DF9" w:rsidRPr="00385DF9">
        <w:rPr>
          <w:sz w:val="28"/>
          <w:szCs w:val="28"/>
        </w:rPr>
        <w:t xml:space="preserve"> году </w:t>
      </w:r>
      <w:r w:rsidR="005B4453">
        <w:rPr>
          <w:sz w:val="28"/>
          <w:szCs w:val="28"/>
        </w:rPr>
        <w:t>–</w:t>
      </w:r>
      <w:r w:rsidR="00385DF9" w:rsidRPr="00385DF9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66,3</w:t>
      </w:r>
      <w:r w:rsidR="00385DF9">
        <w:rPr>
          <w:sz w:val="28"/>
          <w:szCs w:val="28"/>
        </w:rPr>
        <w:t xml:space="preserve"> </w:t>
      </w:r>
      <w:r w:rsidR="00385DF9" w:rsidRPr="00385DF9">
        <w:rPr>
          <w:sz w:val="28"/>
          <w:szCs w:val="28"/>
        </w:rPr>
        <w:t>%)</w:t>
      </w:r>
      <w:r w:rsidR="00385DF9">
        <w:rPr>
          <w:sz w:val="28"/>
          <w:szCs w:val="28"/>
        </w:rPr>
        <w:t xml:space="preserve"> </w:t>
      </w:r>
      <w:r w:rsidRPr="00CD74AF">
        <w:rPr>
          <w:sz w:val="28"/>
          <w:szCs w:val="28"/>
        </w:rPr>
        <w:t>опрошенных,</w:t>
      </w:r>
      <w:r w:rsidRPr="00CD74AF">
        <w:t xml:space="preserve"> </w:t>
      </w:r>
      <w:r w:rsidRPr="00CD74AF">
        <w:rPr>
          <w:sz w:val="28"/>
          <w:szCs w:val="28"/>
        </w:rPr>
        <w:t xml:space="preserve">расчетная (дебетовая) карта для получения пенсий и иных социальных выплат </w:t>
      </w:r>
      <w:r w:rsidR="005B4453">
        <w:rPr>
          <w:sz w:val="28"/>
          <w:szCs w:val="28"/>
        </w:rPr>
        <w:t>–</w:t>
      </w:r>
      <w:r w:rsidRPr="00CD74AF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18,4</w:t>
      </w:r>
      <w:r w:rsidR="005E6031">
        <w:rPr>
          <w:sz w:val="28"/>
          <w:szCs w:val="28"/>
        </w:rPr>
        <w:t xml:space="preserve"> % (в 202</w:t>
      </w:r>
      <w:r w:rsidR="005B4453">
        <w:rPr>
          <w:sz w:val="28"/>
          <w:szCs w:val="28"/>
        </w:rPr>
        <w:t>2</w:t>
      </w:r>
      <w:r w:rsidR="00385DF9" w:rsidRPr="00385DF9">
        <w:rPr>
          <w:sz w:val="28"/>
          <w:szCs w:val="28"/>
        </w:rPr>
        <w:t xml:space="preserve"> году </w:t>
      </w:r>
      <w:r w:rsidR="0051278D">
        <w:rPr>
          <w:sz w:val="28"/>
          <w:szCs w:val="28"/>
        </w:rPr>
        <w:t>-</w:t>
      </w:r>
      <w:r w:rsidR="00385DF9" w:rsidRPr="00385DF9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15</w:t>
      </w:r>
      <w:r w:rsidR="00385DF9" w:rsidRPr="00385DF9">
        <w:rPr>
          <w:sz w:val="28"/>
          <w:szCs w:val="28"/>
        </w:rPr>
        <w:t xml:space="preserve"> %)</w:t>
      </w:r>
      <w:r w:rsidRPr="00CD74AF">
        <w:rPr>
          <w:sz w:val="28"/>
          <w:szCs w:val="28"/>
        </w:rPr>
        <w:t xml:space="preserve">, другая расчетная (дебетовая) карта, кроме карты для получения зарплаты, пенсий и иных социальных выплат </w:t>
      </w:r>
      <w:r w:rsidR="005E6031">
        <w:rPr>
          <w:sz w:val="28"/>
          <w:szCs w:val="28"/>
        </w:rPr>
        <w:t>–</w:t>
      </w:r>
      <w:r w:rsidRPr="00CD74AF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55,2</w:t>
      </w:r>
      <w:r w:rsidR="00385DF9">
        <w:rPr>
          <w:sz w:val="28"/>
          <w:szCs w:val="28"/>
        </w:rPr>
        <w:t xml:space="preserve"> </w:t>
      </w:r>
      <w:r w:rsidR="005E6031">
        <w:rPr>
          <w:sz w:val="28"/>
          <w:szCs w:val="28"/>
        </w:rPr>
        <w:t>% (в 202</w:t>
      </w:r>
      <w:r w:rsidR="005B4453">
        <w:rPr>
          <w:sz w:val="28"/>
          <w:szCs w:val="28"/>
        </w:rPr>
        <w:t>2</w:t>
      </w:r>
      <w:r w:rsidR="00385DF9" w:rsidRPr="00385DF9">
        <w:rPr>
          <w:sz w:val="28"/>
          <w:szCs w:val="28"/>
        </w:rPr>
        <w:t xml:space="preserve"> году</w:t>
      </w:r>
      <w:proofErr w:type="gramEnd"/>
      <w:r w:rsidR="00385DF9" w:rsidRPr="00385DF9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–</w:t>
      </w:r>
      <w:r w:rsidR="00385DF9" w:rsidRPr="00385DF9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52,5</w:t>
      </w:r>
      <w:r w:rsidR="00385DF9" w:rsidRPr="00385DF9">
        <w:rPr>
          <w:sz w:val="28"/>
          <w:szCs w:val="28"/>
        </w:rPr>
        <w:t>%)</w:t>
      </w:r>
      <w:r w:rsidRPr="00CD74AF">
        <w:rPr>
          <w:sz w:val="28"/>
          <w:szCs w:val="28"/>
        </w:rPr>
        <w:t xml:space="preserve">, кредитная карта </w:t>
      </w:r>
      <w:r w:rsidR="005B4453">
        <w:rPr>
          <w:sz w:val="28"/>
          <w:szCs w:val="28"/>
        </w:rPr>
        <w:t>–</w:t>
      </w:r>
      <w:r w:rsidRPr="00CD74AF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42,5</w:t>
      </w:r>
      <w:r w:rsidR="005E6031">
        <w:rPr>
          <w:sz w:val="28"/>
          <w:szCs w:val="28"/>
        </w:rPr>
        <w:t xml:space="preserve"> % (в 202</w:t>
      </w:r>
      <w:r w:rsidR="005B4453">
        <w:rPr>
          <w:sz w:val="28"/>
          <w:szCs w:val="28"/>
        </w:rPr>
        <w:t>2</w:t>
      </w:r>
      <w:r w:rsidR="00385DF9" w:rsidRPr="00385DF9">
        <w:rPr>
          <w:sz w:val="28"/>
          <w:szCs w:val="28"/>
        </w:rPr>
        <w:t xml:space="preserve"> году </w:t>
      </w:r>
      <w:r w:rsidR="0051278D">
        <w:rPr>
          <w:sz w:val="28"/>
          <w:szCs w:val="28"/>
        </w:rPr>
        <w:t>-</w:t>
      </w:r>
      <w:r w:rsidR="00385DF9" w:rsidRPr="00385DF9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35</w:t>
      </w:r>
      <w:r w:rsidR="00385DF9" w:rsidRPr="00385DF9">
        <w:rPr>
          <w:sz w:val="28"/>
          <w:szCs w:val="28"/>
        </w:rPr>
        <w:t xml:space="preserve"> %)</w:t>
      </w:r>
      <w:r w:rsidRPr="00CD74AF">
        <w:rPr>
          <w:sz w:val="28"/>
          <w:szCs w:val="28"/>
        </w:rPr>
        <w:t>.</w:t>
      </w:r>
    </w:p>
    <w:p w:rsidR="009E0512" w:rsidRDefault="009E0512" w:rsidP="009E0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A7DA0">
        <w:rPr>
          <w:sz w:val="28"/>
          <w:szCs w:val="28"/>
        </w:rPr>
        <w:t>44,8</w:t>
      </w:r>
      <w:r w:rsidR="005E6031">
        <w:rPr>
          <w:sz w:val="28"/>
          <w:szCs w:val="28"/>
        </w:rPr>
        <w:t xml:space="preserve"> % (в 202</w:t>
      </w:r>
      <w:r w:rsidR="005B4453">
        <w:rPr>
          <w:sz w:val="28"/>
          <w:szCs w:val="28"/>
        </w:rPr>
        <w:t>2</w:t>
      </w:r>
      <w:r w:rsidR="00D47AB3" w:rsidRPr="00D47AB3">
        <w:rPr>
          <w:sz w:val="28"/>
          <w:szCs w:val="28"/>
        </w:rPr>
        <w:t xml:space="preserve"> году </w:t>
      </w:r>
      <w:r w:rsidR="005B4453">
        <w:rPr>
          <w:sz w:val="28"/>
          <w:szCs w:val="28"/>
        </w:rPr>
        <w:t>–</w:t>
      </w:r>
      <w:r w:rsidR="00D47AB3" w:rsidRPr="00D47AB3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38,8</w:t>
      </w:r>
      <w:r w:rsidR="00D47AB3" w:rsidRPr="00D47AB3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респондентов</w:t>
      </w:r>
      <w:r w:rsidR="00D47AB3">
        <w:rPr>
          <w:sz w:val="28"/>
          <w:szCs w:val="28"/>
        </w:rPr>
        <w:t xml:space="preserve"> заявили о том, что имеют сейчас и пользовались за последние 12 месяцев текущим счетом (расчетным счетом без возможности получения дохода в виде процентов, отличным от счета по вклад</w:t>
      </w:r>
      <w:r w:rsidR="005E6031">
        <w:rPr>
          <w:sz w:val="28"/>
          <w:szCs w:val="28"/>
        </w:rPr>
        <w:t xml:space="preserve">у или счета платежной карты), </w:t>
      </w:r>
      <w:r w:rsidR="00AA7DA0">
        <w:rPr>
          <w:sz w:val="28"/>
          <w:szCs w:val="28"/>
        </w:rPr>
        <w:t>33,3</w:t>
      </w:r>
      <w:r w:rsidR="005E6031">
        <w:rPr>
          <w:sz w:val="28"/>
          <w:szCs w:val="28"/>
        </w:rPr>
        <w:t xml:space="preserve"> % (в 202</w:t>
      </w:r>
      <w:r w:rsidR="005B4453">
        <w:rPr>
          <w:sz w:val="28"/>
          <w:szCs w:val="28"/>
        </w:rPr>
        <w:t>2</w:t>
      </w:r>
      <w:r w:rsidR="00D47AB3" w:rsidRPr="00D47AB3">
        <w:rPr>
          <w:sz w:val="28"/>
          <w:szCs w:val="28"/>
        </w:rPr>
        <w:t xml:space="preserve"> году </w:t>
      </w:r>
      <w:r w:rsidR="0051278D">
        <w:rPr>
          <w:sz w:val="28"/>
          <w:szCs w:val="28"/>
        </w:rPr>
        <w:t>-</w:t>
      </w:r>
      <w:r w:rsidR="00D47AB3" w:rsidRPr="00D47AB3">
        <w:rPr>
          <w:sz w:val="28"/>
          <w:szCs w:val="28"/>
        </w:rPr>
        <w:t xml:space="preserve"> </w:t>
      </w:r>
      <w:r w:rsidR="005B4453">
        <w:rPr>
          <w:sz w:val="28"/>
          <w:szCs w:val="28"/>
        </w:rPr>
        <w:t>1</w:t>
      </w:r>
      <w:r w:rsidR="005E6031">
        <w:rPr>
          <w:sz w:val="28"/>
          <w:szCs w:val="28"/>
        </w:rPr>
        <w:t>0</w:t>
      </w:r>
      <w:r w:rsidR="00D47AB3" w:rsidRPr="00D47AB3">
        <w:rPr>
          <w:sz w:val="28"/>
          <w:szCs w:val="28"/>
        </w:rPr>
        <w:t xml:space="preserve"> %)</w:t>
      </w:r>
      <w:r w:rsidR="00D47AB3">
        <w:rPr>
          <w:sz w:val="28"/>
          <w:szCs w:val="28"/>
        </w:rPr>
        <w:t xml:space="preserve"> не имеют сейчас, но пользовались за последние 12 месяцев и ещё </w:t>
      </w:r>
      <w:r w:rsidR="00AA7DA0">
        <w:rPr>
          <w:sz w:val="28"/>
          <w:szCs w:val="28"/>
        </w:rPr>
        <w:t>21,8</w:t>
      </w:r>
      <w:r w:rsidR="00D47AB3">
        <w:rPr>
          <w:sz w:val="28"/>
          <w:szCs w:val="28"/>
        </w:rPr>
        <w:t xml:space="preserve"> </w:t>
      </w:r>
      <w:r w:rsidR="005E6031">
        <w:rPr>
          <w:sz w:val="28"/>
          <w:szCs w:val="28"/>
        </w:rPr>
        <w:t xml:space="preserve">% (в </w:t>
      </w:r>
      <w:r w:rsidR="00AA7DA0">
        <w:rPr>
          <w:sz w:val="28"/>
          <w:szCs w:val="28"/>
        </w:rPr>
        <w:t>2022</w:t>
      </w:r>
      <w:r w:rsidR="00D47AB3" w:rsidRPr="00D47AB3">
        <w:rPr>
          <w:sz w:val="28"/>
          <w:szCs w:val="28"/>
        </w:rPr>
        <w:t xml:space="preserve"> году </w:t>
      </w:r>
      <w:r w:rsidR="005E6031">
        <w:rPr>
          <w:sz w:val="28"/>
          <w:szCs w:val="28"/>
        </w:rPr>
        <w:t>–</w:t>
      </w:r>
      <w:r w:rsidR="00D47AB3" w:rsidRPr="00D47AB3">
        <w:rPr>
          <w:sz w:val="28"/>
          <w:szCs w:val="28"/>
        </w:rPr>
        <w:t xml:space="preserve"> </w:t>
      </w:r>
      <w:r w:rsidR="00AA7DA0">
        <w:rPr>
          <w:sz w:val="28"/>
          <w:szCs w:val="28"/>
        </w:rPr>
        <w:t>51,2</w:t>
      </w:r>
      <w:r w:rsidR="005E6031">
        <w:rPr>
          <w:sz w:val="28"/>
          <w:szCs w:val="28"/>
        </w:rPr>
        <w:t xml:space="preserve"> </w:t>
      </w:r>
      <w:r w:rsidR="00D47AB3" w:rsidRPr="00D47AB3">
        <w:rPr>
          <w:sz w:val="28"/>
          <w:szCs w:val="28"/>
        </w:rPr>
        <w:t xml:space="preserve">%) </w:t>
      </w:r>
      <w:r w:rsidR="00D47AB3">
        <w:rPr>
          <w:sz w:val="28"/>
          <w:szCs w:val="28"/>
        </w:rPr>
        <w:t>заявили</w:t>
      </w:r>
      <w:proofErr w:type="gramEnd"/>
      <w:r w:rsidR="00D47AB3">
        <w:rPr>
          <w:sz w:val="28"/>
          <w:szCs w:val="28"/>
        </w:rPr>
        <w:t xml:space="preserve"> о том, что не пользовались текущем счетом за </w:t>
      </w:r>
      <w:proofErr w:type="gramStart"/>
      <w:r w:rsidR="00D47AB3">
        <w:rPr>
          <w:sz w:val="28"/>
          <w:szCs w:val="28"/>
        </w:rPr>
        <w:t>последние</w:t>
      </w:r>
      <w:proofErr w:type="gramEnd"/>
      <w:r w:rsidR="00D47AB3">
        <w:rPr>
          <w:sz w:val="28"/>
          <w:szCs w:val="28"/>
        </w:rPr>
        <w:t xml:space="preserve"> 12 месяцев. </w:t>
      </w:r>
    </w:p>
    <w:p w:rsidR="001E238A" w:rsidRDefault="009E0512" w:rsidP="00AA7DA0">
      <w:pPr>
        <w:ind w:firstLine="709"/>
        <w:jc w:val="both"/>
        <w:rPr>
          <w:sz w:val="28"/>
          <w:szCs w:val="28"/>
        </w:rPr>
      </w:pPr>
      <w:proofErr w:type="gramStart"/>
      <w:r w:rsidRPr="00A97303">
        <w:rPr>
          <w:sz w:val="28"/>
          <w:szCs w:val="28"/>
        </w:rPr>
        <w:t xml:space="preserve">В результате анализа использования населением различных форм дистанционного доступа к банковскому счету </w:t>
      </w:r>
      <w:r w:rsidR="00A97303">
        <w:rPr>
          <w:sz w:val="28"/>
          <w:szCs w:val="28"/>
        </w:rPr>
        <w:t xml:space="preserve"> за последние 12 месяцев </w:t>
      </w:r>
      <w:r w:rsidRPr="00A97303">
        <w:rPr>
          <w:sz w:val="28"/>
          <w:szCs w:val="28"/>
        </w:rPr>
        <w:t xml:space="preserve">было выявлено, что </w:t>
      </w:r>
      <w:r w:rsidR="00A97303">
        <w:rPr>
          <w:sz w:val="28"/>
          <w:szCs w:val="28"/>
        </w:rPr>
        <w:t xml:space="preserve">наиболее </w:t>
      </w:r>
      <w:r w:rsidRPr="00A97303">
        <w:rPr>
          <w:sz w:val="28"/>
          <w:szCs w:val="28"/>
        </w:rPr>
        <w:t>широк</w:t>
      </w:r>
      <w:r w:rsidR="00A97303" w:rsidRPr="00A97303">
        <w:rPr>
          <w:sz w:val="28"/>
          <w:szCs w:val="28"/>
        </w:rPr>
        <w:t>ую популярность среди опрошенных</w:t>
      </w:r>
      <w:r w:rsidR="00A97303">
        <w:rPr>
          <w:sz w:val="28"/>
          <w:szCs w:val="28"/>
        </w:rPr>
        <w:t xml:space="preserve"> получили</w:t>
      </w:r>
      <w:r w:rsidRPr="00A97303">
        <w:rPr>
          <w:sz w:val="28"/>
          <w:szCs w:val="28"/>
        </w:rPr>
        <w:t xml:space="preserve"> мобильные приложения для </w:t>
      </w:r>
      <w:r w:rsidR="00A97303">
        <w:rPr>
          <w:sz w:val="28"/>
          <w:szCs w:val="28"/>
        </w:rPr>
        <w:t>смартфонов или планшетов</w:t>
      </w:r>
      <w:r w:rsidRPr="00A97303">
        <w:rPr>
          <w:sz w:val="28"/>
          <w:szCs w:val="28"/>
        </w:rPr>
        <w:t xml:space="preserve"> позволяющие получить удаленный доступ к банковскому счету</w:t>
      </w:r>
      <w:r w:rsidR="00991270">
        <w:rPr>
          <w:sz w:val="28"/>
          <w:szCs w:val="28"/>
        </w:rPr>
        <w:t xml:space="preserve"> – </w:t>
      </w:r>
      <w:r w:rsidR="00AA7DA0">
        <w:rPr>
          <w:sz w:val="28"/>
          <w:szCs w:val="28"/>
        </w:rPr>
        <w:t>65,5</w:t>
      </w:r>
      <w:r w:rsidR="00991270">
        <w:rPr>
          <w:sz w:val="28"/>
          <w:szCs w:val="28"/>
        </w:rPr>
        <w:t xml:space="preserve"> % (в 202</w:t>
      </w:r>
      <w:r w:rsidR="00AA7DA0">
        <w:rPr>
          <w:sz w:val="28"/>
          <w:szCs w:val="28"/>
        </w:rPr>
        <w:t>2</w:t>
      </w:r>
      <w:r w:rsidR="00A97303" w:rsidRPr="00A97303">
        <w:rPr>
          <w:sz w:val="28"/>
          <w:szCs w:val="28"/>
        </w:rPr>
        <w:t xml:space="preserve"> году </w:t>
      </w:r>
      <w:r w:rsidR="00991270">
        <w:rPr>
          <w:sz w:val="28"/>
          <w:szCs w:val="28"/>
        </w:rPr>
        <w:t>–</w:t>
      </w:r>
      <w:r w:rsidR="00A97303" w:rsidRPr="00A97303">
        <w:rPr>
          <w:sz w:val="28"/>
          <w:szCs w:val="28"/>
        </w:rPr>
        <w:t xml:space="preserve"> </w:t>
      </w:r>
      <w:r w:rsidR="00AA7DA0">
        <w:rPr>
          <w:sz w:val="28"/>
          <w:szCs w:val="28"/>
        </w:rPr>
        <w:t>87,5</w:t>
      </w:r>
      <w:r w:rsidR="00991270">
        <w:rPr>
          <w:sz w:val="28"/>
          <w:szCs w:val="28"/>
        </w:rPr>
        <w:t xml:space="preserve"> </w:t>
      </w:r>
      <w:r w:rsidR="00A97303" w:rsidRPr="00A97303">
        <w:rPr>
          <w:sz w:val="28"/>
          <w:szCs w:val="28"/>
        </w:rPr>
        <w:t>%)</w:t>
      </w:r>
      <w:r w:rsidRPr="00A97303">
        <w:rPr>
          <w:sz w:val="28"/>
          <w:szCs w:val="28"/>
        </w:rPr>
        <w:t>.</w:t>
      </w:r>
      <w:r w:rsidR="00A97303">
        <w:rPr>
          <w:sz w:val="28"/>
          <w:szCs w:val="28"/>
        </w:rPr>
        <w:t xml:space="preserve"> </w:t>
      </w:r>
      <w:proofErr w:type="gramEnd"/>
    </w:p>
    <w:p w:rsidR="00266743" w:rsidRPr="00CE5160" w:rsidRDefault="00A80A8E" w:rsidP="007D53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38A" w:rsidRPr="00F25316">
        <w:rPr>
          <w:sz w:val="28"/>
          <w:szCs w:val="28"/>
        </w:rPr>
        <w:t>Если рассматривать степень использования населения страховых продуктов, то можно сделать вывод: среди участников опроса</w:t>
      </w:r>
      <w:r w:rsidRPr="00F25316">
        <w:rPr>
          <w:sz w:val="28"/>
          <w:szCs w:val="28"/>
        </w:rPr>
        <w:t xml:space="preserve"> наиболее популярным</w:t>
      </w:r>
      <w:r w:rsidR="001E238A" w:rsidRPr="00F25316">
        <w:rPr>
          <w:sz w:val="28"/>
          <w:szCs w:val="28"/>
        </w:rPr>
        <w:t>и</w:t>
      </w:r>
      <w:r w:rsidRPr="00F25316">
        <w:rPr>
          <w:sz w:val="28"/>
          <w:szCs w:val="28"/>
        </w:rPr>
        <w:t xml:space="preserve"> </w:t>
      </w:r>
      <w:r w:rsidR="001E238A" w:rsidRPr="00F25316">
        <w:rPr>
          <w:sz w:val="28"/>
          <w:szCs w:val="28"/>
        </w:rPr>
        <w:t>видами</w:t>
      </w:r>
      <w:r w:rsidRPr="00F25316">
        <w:rPr>
          <w:sz w:val="28"/>
          <w:szCs w:val="28"/>
        </w:rPr>
        <w:t xml:space="preserve"> страхования является добровольное</w:t>
      </w:r>
      <w:r w:rsidR="00FE439B" w:rsidRPr="00F25316">
        <w:rPr>
          <w:sz w:val="28"/>
          <w:szCs w:val="28"/>
        </w:rPr>
        <w:t xml:space="preserve"> медицинское страхование </w:t>
      </w:r>
      <w:r w:rsidR="00CE5160">
        <w:rPr>
          <w:sz w:val="28"/>
          <w:szCs w:val="28"/>
        </w:rPr>
        <w:t>89,7</w:t>
      </w:r>
      <w:r w:rsidR="00F25316" w:rsidRPr="00F25316">
        <w:rPr>
          <w:sz w:val="28"/>
          <w:szCs w:val="28"/>
        </w:rPr>
        <w:t xml:space="preserve"> % </w:t>
      </w:r>
      <w:r w:rsidR="00FE439B" w:rsidRPr="00F25316">
        <w:rPr>
          <w:sz w:val="28"/>
          <w:szCs w:val="28"/>
        </w:rPr>
        <w:t>(</w:t>
      </w:r>
      <w:r w:rsidR="007D5386">
        <w:rPr>
          <w:sz w:val="28"/>
          <w:szCs w:val="28"/>
        </w:rPr>
        <w:t>в 202</w:t>
      </w:r>
      <w:r w:rsidR="00AA7DA0">
        <w:rPr>
          <w:sz w:val="28"/>
          <w:szCs w:val="28"/>
        </w:rPr>
        <w:t>2</w:t>
      </w:r>
      <w:r w:rsidR="007D5386">
        <w:rPr>
          <w:sz w:val="28"/>
          <w:szCs w:val="28"/>
        </w:rPr>
        <w:t xml:space="preserve"> году- </w:t>
      </w:r>
      <w:r w:rsidR="00AA7DA0">
        <w:rPr>
          <w:sz w:val="28"/>
          <w:szCs w:val="28"/>
        </w:rPr>
        <w:t>79</w:t>
      </w:r>
      <w:r w:rsidR="007D5386">
        <w:rPr>
          <w:sz w:val="28"/>
          <w:szCs w:val="28"/>
        </w:rPr>
        <w:t xml:space="preserve"> </w:t>
      </w:r>
      <w:r w:rsidR="00FE439B" w:rsidRPr="00F25316">
        <w:rPr>
          <w:sz w:val="28"/>
          <w:szCs w:val="28"/>
        </w:rPr>
        <w:t>%), которое</w:t>
      </w:r>
      <w:r w:rsidR="001E238A" w:rsidRPr="00F25316">
        <w:rPr>
          <w:sz w:val="28"/>
          <w:szCs w:val="28"/>
        </w:rPr>
        <w:t xml:space="preserve"> часто</w:t>
      </w:r>
      <w:r w:rsidR="00FE439B" w:rsidRPr="00F25316">
        <w:rPr>
          <w:sz w:val="28"/>
          <w:szCs w:val="28"/>
        </w:rPr>
        <w:t xml:space="preserve"> предлагают работодатели в рамках социального пакета для работников, </w:t>
      </w:r>
      <w:r w:rsidR="001E238A" w:rsidRPr="00F25316">
        <w:rPr>
          <w:sz w:val="28"/>
          <w:szCs w:val="28"/>
        </w:rPr>
        <w:t>и</w:t>
      </w:r>
      <w:r w:rsidR="00FE439B" w:rsidRPr="00F25316">
        <w:rPr>
          <w:sz w:val="28"/>
          <w:szCs w:val="28"/>
        </w:rPr>
        <w:t xml:space="preserve"> добровольное страхование жизни опрошенных.</w:t>
      </w:r>
      <w:r w:rsidR="001E238A" w:rsidRPr="00F25316">
        <w:rPr>
          <w:sz w:val="28"/>
          <w:szCs w:val="28"/>
        </w:rPr>
        <w:t xml:space="preserve"> </w:t>
      </w:r>
      <w:r w:rsidR="00F25316" w:rsidRPr="00F25316">
        <w:rPr>
          <w:sz w:val="28"/>
          <w:szCs w:val="28"/>
        </w:rPr>
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</w:t>
      </w:r>
      <w:r w:rsidR="00F25316">
        <w:rPr>
          <w:sz w:val="28"/>
          <w:szCs w:val="28"/>
        </w:rPr>
        <w:t>и др.</w:t>
      </w:r>
      <w:r w:rsidR="00F25316" w:rsidRPr="00F25316">
        <w:rPr>
          <w:sz w:val="28"/>
          <w:szCs w:val="28"/>
        </w:rPr>
        <w:t>)</w:t>
      </w:r>
      <w:r w:rsidR="00F25316">
        <w:rPr>
          <w:sz w:val="28"/>
          <w:szCs w:val="28"/>
        </w:rPr>
        <w:t xml:space="preserve"> также является весьма во</w:t>
      </w:r>
      <w:r w:rsidR="007D5386">
        <w:rPr>
          <w:sz w:val="28"/>
          <w:szCs w:val="28"/>
        </w:rPr>
        <w:t xml:space="preserve">стребованным, об этом заявили </w:t>
      </w:r>
      <w:r w:rsidR="00CE5160">
        <w:rPr>
          <w:sz w:val="28"/>
          <w:szCs w:val="28"/>
        </w:rPr>
        <w:t>51</w:t>
      </w:r>
      <w:r w:rsidR="007D5386">
        <w:rPr>
          <w:sz w:val="28"/>
          <w:szCs w:val="28"/>
        </w:rPr>
        <w:t xml:space="preserve"> % (в 202</w:t>
      </w:r>
      <w:r w:rsidR="00AA7DA0">
        <w:rPr>
          <w:sz w:val="28"/>
          <w:szCs w:val="28"/>
        </w:rPr>
        <w:t>2</w:t>
      </w:r>
      <w:r w:rsidR="00F25316">
        <w:rPr>
          <w:sz w:val="28"/>
          <w:szCs w:val="28"/>
        </w:rPr>
        <w:t xml:space="preserve"> году </w:t>
      </w:r>
      <w:r w:rsidR="0051278D">
        <w:rPr>
          <w:sz w:val="28"/>
          <w:szCs w:val="28"/>
        </w:rPr>
        <w:t>-</w:t>
      </w:r>
      <w:r w:rsidR="00F25316">
        <w:rPr>
          <w:sz w:val="28"/>
          <w:szCs w:val="28"/>
        </w:rPr>
        <w:t xml:space="preserve"> 2</w:t>
      </w:r>
      <w:r w:rsidR="00AA7DA0">
        <w:rPr>
          <w:sz w:val="28"/>
          <w:szCs w:val="28"/>
        </w:rPr>
        <w:t>5</w:t>
      </w:r>
      <w:r w:rsidR="00F25316">
        <w:rPr>
          <w:sz w:val="28"/>
          <w:szCs w:val="28"/>
        </w:rPr>
        <w:t xml:space="preserve"> %) опрошенных. </w:t>
      </w:r>
    </w:p>
    <w:p w:rsidR="00B3494D" w:rsidRDefault="00B3494D" w:rsidP="00E13A39">
      <w:pPr>
        <w:ind w:firstLine="708"/>
        <w:rPr>
          <w:sz w:val="28"/>
          <w:szCs w:val="28"/>
        </w:rPr>
      </w:pPr>
    </w:p>
    <w:p w:rsidR="00372BB1" w:rsidRPr="003932DA" w:rsidRDefault="00AC2AB6" w:rsidP="003932DA">
      <w:pPr>
        <w:pStyle w:val="a7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удовлетворенности деятельност</w:t>
      </w:r>
      <w:r w:rsidRPr="00AC2AB6">
        <w:rPr>
          <w:b/>
          <w:sz w:val="28"/>
          <w:szCs w:val="28"/>
        </w:rPr>
        <w:t xml:space="preserve">ью </w:t>
      </w:r>
      <w:r w:rsidRPr="003932DA">
        <w:rPr>
          <w:b/>
          <w:sz w:val="28"/>
          <w:szCs w:val="28"/>
        </w:rPr>
        <w:t>в сфере финансовых услуг</w:t>
      </w:r>
      <w:r w:rsidR="003932DA">
        <w:rPr>
          <w:b/>
          <w:sz w:val="28"/>
          <w:szCs w:val="28"/>
        </w:rPr>
        <w:t>.</w:t>
      </w:r>
    </w:p>
    <w:p w:rsidR="00372BB1" w:rsidRDefault="00372BB1" w:rsidP="00372BB1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Удовлетворенность потребителей деятельностью финансовых организаций, является одним из показателей, характеризующих сферу финансовых услуг. </w:t>
      </w:r>
    </w:p>
    <w:p w:rsidR="00B90236" w:rsidRPr="005F7E85" w:rsidRDefault="00B90236" w:rsidP="00B90236">
      <w:pPr>
        <w:ind w:firstLine="709"/>
        <w:jc w:val="both"/>
        <w:rPr>
          <w:sz w:val="28"/>
          <w:szCs w:val="28"/>
        </w:rPr>
      </w:pPr>
      <w:proofErr w:type="gramStart"/>
      <w:r w:rsidRPr="005F7E85">
        <w:rPr>
          <w:sz w:val="28"/>
          <w:szCs w:val="28"/>
        </w:rPr>
        <w:t>По результатам опроса жителей округа, наиболее высокая степень удовлетворенности опрошенных потребителей от</w:t>
      </w:r>
      <w:r>
        <w:rPr>
          <w:sz w:val="28"/>
          <w:szCs w:val="28"/>
        </w:rPr>
        <w:t>мечена при оценке работы банков</w:t>
      </w:r>
      <w:r w:rsidR="00BA3768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56,3</w:t>
      </w:r>
      <w:r w:rsidR="00BA3768">
        <w:rPr>
          <w:sz w:val="28"/>
          <w:szCs w:val="28"/>
        </w:rPr>
        <w:t xml:space="preserve"> </w:t>
      </w:r>
      <w:r w:rsidR="00AA02A8">
        <w:rPr>
          <w:sz w:val="28"/>
          <w:szCs w:val="28"/>
        </w:rPr>
        <w:t xml:space="preserve">% </w:t>
      </w:r>
      <w:r w:rsidR="00AA02A8" w:rsidRPr="005F7E85">
        <w:rPr>
          <w:sz w:val="28"/>
          <w:szCs w:val="28"/>
        </w:rPr>
        <w:t>(</w:t>
      </w:r>
      <w:r w:rsidR="00BA3768">
        <w:rPr>
          <w:sz w:val="28"/>
          <w:szCs w:val="28"/>
        </w:rPr>
        <w:t>в 202</w:t>
      </w:r>
      <w:r w:rsidR="00CE5160">
        <w:rPr>
          <w:sz w:val="28"/>
          <w:szCs w:val="28"/>
        </w:rPr>
        <w:t>2</w:t>
      </w:r>
      <w:r w:rsidR="00BA3768">
        <w:rPr>
          <w:sz w:val="28"/>
          <w:szCs w:val="28"/>
        </w:rPr>
        <w:t xml:space="preserve"> </w:t>
      </w:r>
      <w:r w:rsidR="00AA02A8">
        <w:rPr>
          <w:sz w:val="28"/>
          <w:szCs w:val="28"/>
        </w:rPr>
        <w:t xml:space="preserve">году </w:t>
      </w:r>
      <w:r w:rsidR="00BA3768">
        <w:rPr>
          <w:sz w:val="28"/>
          <w:szCs w:val="28"/>
        </w:rPr>
        <w:t xml:space="preserve">– </w:t>
      </w:r>
      <w:r w:rsidR="00CE5160">
        <w:rPr>
          <w:sz w:val="28"/>
          <w:szCs w:val="28"/>
        </w:rPr>
        <w:t>75</w:t>
      </w:r>
      <w:r w:rsidR="00BA3768">
        <w:rPr>
          <w:sz w:val="28"/>
          <w:szCs w:val="28"/>
        </w:rPr>
        <w:t>%)</w:t>
      </w:r>
      <w:r>
        <w:rPr>
          <w:sz w:val="28"/>
          <w:szCs w:val="28"/>
        </w:rPr>
        <w:t xml:space="preserve"> т</w:t>
      </w:r>
      <w:r w:rsidRPr="005F7E85">
        <w:rPr>
          <w:sz w:val="28"/>
          <w:szCs w:val="28"/>
        </w:rPr>
        <w:t xml:space="preserve">акже высокую оценку респондентов округа </w:t>
      </w:r>
      <w:r w:rsidRPr="005F7E85">
        <w:rPr>
          <w:sz w:val="28"/>
          <w:szCs w:val="28"/>
        </w:rPr>
        <w:lastRenderedPageBreak/>
        <w:t xml:space="preserve">получили </w:t>
      </w:r>
      <w:r w:rsidR="00AA02A8">
        <w:rPr>
          <w:sz w:val="28"/>
          <w:szCs w:val="28"/>
        </w:rPr>
        <w:t>сельскохозяйственные кредитные</w:t>
      </w:r>
      <w:r w:rsidR="00AA02A8" w:rsidRPr="005F7E85">
        <w:rPr>
          <w:sz w:val="28"/>
          <w:szCs w:val="28"/>
        </w:rPr>
        <w:t xml:space="preserve"> потреби</w:t>
      </w:r>
      <w:r w:rsidR="00AA02A8">
        <w:rPr>
          <w:sz w:val="28"/>
          <w:szCs w:val="28"/>
        </w:rPr>
        <w:t>тельские кооперативы</w:t>
      </w:r>
      <w:r w:rsidR="00AA02A8" w:rsidRPr="005F7E85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40,2</w:t>
      </w:r>
      <w:r w:rsidR="00BA3768">
        <w:rPr>
          <w:sz w:val="28"/>
          <w:szCs w:val="28"/>
        </w:rPr>
        <w:t xml:space="preserve"> % (в 202</w:t>
      </w:r>
      <w:r w:rsidR="00CE5160">
        <w:rPr>
          <w:sz w:val="28"/>
          <w:szCs w:val="28"/>
        </w:rPr>
        <w:t>2</w:t>
      </w:r>
      <w:r w:rsidR="00AA02A8" w:rsidRPr="00AA02A8">
        <w:rPr>
          <w:sz w:val="28"/>
          <w:szCs w:val="28"/>
        </w:rPr>
        <w:t xml:space="preserve"> году </w:t>
      </w:r>
      <w:r w:rsidR="00BA3768">
        <w:rPr>
          <w:sz w:val="28"/>
          <w:szCs w:val="28"/>
        </w:rPr>
        <w:t>–</w:t>
      </w:r>
      <w:r w:rsidR="00AA02A8" w:rsidRPr="00AA02A8">
        <w:rPr>
          <w:sz w:val="28"/>
          <w:szCs w:val="28"/>
        </w:rPr>
        <w:t xml:space="preserve"> </w:t>
      </w:r>
      <w:r w:rsidR="00CE5160">
        <w:rPr>
          <w:sz w:val="28"/>
          <w:szCs w:val="28"/>
        </w:rPr>
        <w:t>27,5</w:t>
      </w:r>
      <w:r w:rsidR="00AA02A8" w:rsidRPr="00AA02A8">
        <w:rPr>
          <w:sz w:val="28"/>
          <w:szCs w:val="28"/>
        </w:rPr>
        <w:t xml:space="preserve"> %)</w:t>
      </w:r>
      <w:r w:rsidR="00AA02A8">
        <w:rPr>
          <w:sz w:val="28"/>
          <w:szCs w:val="28"/>
        </w:rPr>
        <w:t xml:space="preserve">, </w:t>
      </w:r>
      <w:r w:rsidRPr="005F7E85">
        <w:rPr>
          <w:sz w:val="28"/>
          <w:szCs w:val="28"/>
        </w:rPr>
        <w:t xml:space="preserve">субъекты страхового дела </w:t>
      </w:r>
      <w:r w:rsidR="00BA3768">
        <w:rPr>
          <w:sz w:val="28"/>
          <w:szCs w:val="28"/>
        </w:rPr>
        <w:t>–</w:t>
      </w:r>
      <w:r w:rsidRPr="005F7E85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24,1</w:t>
      </w:r>
      <w:r w:rsidR="00BA3768">
        <w:rPr>
          <w:sz w:val="28"/>
          <w:szCs w:val="28"/>
        </w:rPr>
        <w:t xml:space="preserve"> % (в 202</w:t>
      </w:r>
      <w:r w:rsidR="00CE5160">
        <w:rPr>
          <w:sz w:val="28"/>
          <w:szCs w:val="28"/>
        </w:rPr>
        <w:t>2</w:t>
      </w:r>
      <w:r w:rsidR="00AA02A8" w:rsidRPr="00AA02A8">
        <w:rPr>
          <w:sz w:val="28"/>
          <w:szCs w:val="28"/>
        </w:rPr>
        <w:t xml:space="preserve"> году </w:t>
      </w:r>
      <w:r w:rsidR="00BA3768">
        <w:rPr>
          <w:sz w:val="28"/>
          <w:szCs w:val="28"/>
        </w:rPr>
        <w:t>–</w:t>
      </w:r>
      <w:r w:rsidR="0051278D">
        <w:rPr>
          <w:sz w:val="28"/>
          <w:szCs w:val="28"/>
        </w:rPr>
        <w:t xml:space="preserve"> </w:t>
      </w:r>
      <w:r w:rsidR="00CE5160">
        <w:rPr>
          <w:sz w:val="28"/>
          <w:szCs w:val="28"/>
        </w:rPr>
        <w:t>28</w:t>
      </w:r>
      <w:r w:rsidR="00BA3768">
        <w:rPr>
          <w:sz w:val="28"/>
          <w:szCs w:val="28"/>
        </w:rPr>
        <w:t>,8</w:t>
      </w:r>
      <w:r w:rsidR="00AA02A8" w:rsidRPr="00AA02A8">
        <w:rPr>
          <w:sz w:val="28"/>
          <w:szCs w:val="28"/>
        </w:rPr>
        <w:t xml:space="preserve"> %)</w:t>
      </w:r>
      <w:r w:rsidRPr="005F7E85">
        <w:rPr>
          <w:sz w:val="28"/>
          <w:szCs w:val="28"/>
        </w:rPr>
        <w:t xml:space="preserve">, </w:t>
      </w:r>
      <w:proofErr w:type="spellStart"/>
      <w:r w:rsidR="00AA02A8">
        <w:rPr>
          <w:sz w:val="28"/>
          <w:szCs w:val="28"/>
        </w:rPr>
        <w:t>микрофинансовые</w:t>
      </w:r>
      <w:proofErr w:type="spellEnd"/>
      <w:r w:rsidR="00AA02A8" w:rsidRPr="005F7E85">
        <w:rPr>
          <w:sz w:val="28"/>
          <w:szCs w:val="28"/>
        </w:rPr>
        <w:t xml:space="preserve"> ор</w:t>
      </w:r>
      <w:r w:rsidR="00AA02A8">
        <w:rPr>
          <w:sz w:val="28"/>
          <w:szCs w:val="28"/>
        </w:rPr>
        <w:t>ганизации</w:t>
      </w:r>
      <w:r w:rsidR="00AA02A8" w:rsidRPr="005F7E85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14,9</w:t>
      </w:r>
      <w:r w:rsidR="00BA3768">
        <w:rPr>
          <w:sz w:val="28"/>
          <w:szCs w:val="28"/>
        </w:rPr>
        <w:t xml:space="preserve"> % (в 202</w:t>
      </w:r>
      <w:r w:rsidR="00CE5160">
        <w:rPr>
          <w:sz w:val="28"/>
          <w:szCs w:val="28"/>
        </w:rPr>
        <w:t>2</w:t>
      </w:r>
      <w:r w:rsidR="00AA02A8" w:rsidRPr="00AA02A8">
        <w:rPr>
          <w:sz w:val="28"/>
          <w:szCs w:val="28"/>
        </w:rPr>
        <w:t xml:space="preserve"> году </w:t>
      </w:r>
      <w:r w:rsidR="00BA3768">
        <w:rPr>
          <w:sz w:val="28"/>
          <w:szCs w:val="28"/>
        </w:rPr>
        <w:t>–</w:t>
      </w:r>
      <w:r w:rsidR="00AA02A8" w:rsidRPr="00AA02A8">
        <w:rPr>
          <w:sz w:val="28"/>
          <w:szCs w:val="28"/>
        </w:rPr>
        <w:t xml:space="preserve"> </w:t>
      </w:r>
      <w:r w:rsidR="00CE5160">
        <w:rPr>
          <w:sz w:val="28"/>
          <w:szCs w:val="28"/>
        </w:rPr>
        <w:t>17,5</w:t>
      </w:r>
      <w:r w:rsidR="00AA02A8" w:rsidRPr="00AA02A8">
        <w:rPr>
          <w:sz w:val="28"/>
          <w:szCs w:val="28"/>
        </w:rPr>
        <w:t xml:space="preserve"> %),</w:t>
      </w:r>
      <w:r w:rsidR="00BA3768">
        <w:rPr>
          <w:sz w:val="28"/>
          <w:szCs w:val="28"/>
        </w:rPr>
        <w:t xml:space="preserve"> ломбарды </w:t>
      </w:r>
      <w:r w:rsidR="00F76608">
        <w:rPr>
          <w:sz w:val="28"/>
          <w:szCs w:val="28"/>
        </w:rPr>
        <w:t>11,5</w:t>
      </w:r>
      <w:r w:rsidR="00BA3768">
        <w:rPr>
          <w:sz w:val="28"/>
          <w:szCs w:val="28"/>
        </w:rPr>
        <w:t xml:space="preserve"> % (в 202</w:t>
      </w:r>
      <w:r w:rsidR="00CE5160">
        <w:rPr>
          <w:sz w:val="28"/>
          <w:szCs w:val="28"/>
        </w:rPr>
        <w:t>2</w:t>
      </w:r>
      <w:r w:rsidR="00AA02A8" w:rsidRPr="00AA02A8">
        <w:rPr>
          <w:sz w:val="28"/>
          <w:szCs w:val="28"/>
        </w:rPr>
        <w:t xml:space="preserve"> году </w:t>
      </w:r>
      <w:r w:rsidR="00BA3768">
        <w:rPr>
          <w:sz w:val="28"/>
          <w:szCs w:val="28"/>
        </w:rPr>
        <w:t>–</w:t>
      </w:r>
      <w:r w:rsidR="0051278D">
        <w:rPr>
          <w:sz w:val="28"/>
          <w:szCs w:val="28"/>
        </w:rPr>
        <w:t xml:space="preserve"> </w:t>
      </w:r>
      <w:r w:rsidR="00CE5160">
        <w:rPr>
          <w:sz w:val="28"/>
          <w:szCs w:val="28"/>
        </w:rPr>
        <w:t>21,3</w:t>
      </w:r>
      <w:r w:rsidR="00AA02A8" w:rsidRPr="00AA02A8">
        <w:rPr>
          <w:sz w:val="28"/>
          <w:szCs w:val="28"/>
        </w:rPr>
        <w:t xml:space="preserve"> %)</w:t>
      </w:r>
      <w:r w:rsidR="00BA3768">
        <w:rPr>
          <w:sz w:val="28"/>
          <w:szCs w:val="28"/>
        </w:rPr>
        <w:t>, негосударственные пенсионные фонды</w:t>
      </w:r>
      <w:proofErr w:type="gramEnd"/>
      <w:r w:rsidR="00BA3768">
        <w:rPr>
          <w:sz w:val="28"/>
          <w:szCs w:val="28"/>
        </w:rPr>
        <w:t xml:space="preserve">- </w:t>
      </w:r>
      <w:r w:rsidR="00F76608">
        <w:rPr>
          <w:sz w:val="28"/>
          <w:szCs w:val="28"/>
        </w:rPr>
        <w:t>29,9</w:t>
      </w:r>
      <w:r w:rsidR="00BA3768">
        <w:rPr>
          <w:sz w:val="28"/>
          <w:szCs w:val="28"/>
        </w:rPr>
        <w:t xml:space="preserve"> % (в 202</w:t>
      </w:r>
      <w:r w:rsidR="00CE5160">
        <w:rPr>
          <w:sz w:val="28"/>
          <w:szCs w:val="28"/>
        </w:rPr>
        <w:t>2</w:t>
      </w:r>
      <w:r w:rsidR="00BA3768">
        <w:rPr>
          <w:sz w:val="28"/>
          <w:szCs w:val="28"/>
        </w:rPr>
        <w:t xml:space="preserve"> году – </w:t>
      </w:r>
      <w:r w:rsidR="00CE5160">
        <w:rPr>
          <w:sz w:val="28"/>
          <w:szCs w:val="28"/>
        </w:rPr>
        <w:t>23,8</w:t>
      </w:r>
      <w:r w:rsidR="00BA3768">
        <w:rPr>
          <w:sz w:val="28"/>
          <w:szCs w:val="28"/>
        </w:rPr>
        <w:t xml:space="preserve"> %)</w:t>
      </w:r>
      <w:r w:rsidR="00AA02A8">
        <w:rPr>
          <w:sz w:val="28"/>
          <w:szCs w:val="28"/>
        </w:rPr>
        <w:t>.</w:t>
      </w:r>
      <w:r w:rsidRPr="005F7E85">
        <w:rPr>
          <w:sz w:val="28"/>
          <w:szCs w:val="28"/>
        </w:rPr>
        <w:t xml:space="preserve"> </w:t>
      </w:r>
    </w:p>
    <w:p w:rsidR="001C4F30" w:rsidRDefault="000607B7" w:rsidP="000607B7">
      <w:pPr>
        <w:ind w:firstLine="709"/>
        <w:jc w:val="both"/>
        <w:rPr>
          <w:sz w:val="28"/>
          <w:szCs w:val="28"/>
        </w:rPr>
      </w:pPr>
      <w:r w:rsidRPr="005F7E85">
        <w:rPr>
          <w:sz w:val="28"/>
          <w:szCs w:val="28"/>
        </w:rPr>
        <w:t>Степень удовлетвореннос</w:t>
      </w:r>
      <w:r>
        <w:rPr>
          <w:sz w:val="28"/>
          <w:szCs w:val="28"/>
        </w:rPr>
        <w:t>ти услуг</w:t>
      </w:r>
      <w:r w:rsidR="00B90236" w:rsidRPr="005F7E85">
        <w:rPr>
          <w:sz w:val="28"/>
          <w:szCs w:val="28"/>
        </w:rPr>
        <w:t xml:space="preserve"> кредитных потреби</w:t>
      </w:r>
      <w:r w:rsidR="00BA3768">
        <w:rPr>
          <w:sz w:val="28"/>
          <w:szCs w:val="28"/>
        </w:rPr>
        <w:t xml:space="preserve">тельских кооперативов </w:t>
      </w:r>
      <w:r w:rsidR="00F76608">
        <w:rPr>
          <w:sz w:val="28"/>
          <w:szCs w:val="28"/>
        </w:rPr>
        <w:t>8</w:t>
      </w:r>
      <w:r w:rsidR="00BA3768">
        <w:rPr>
          <w:sz w:val="28"/>
          <w:szCs w:val="28"/>
        </w:rPr>
        <w:t>,0 % (в 202</w:t>
      </w:r>
      <w:r w:rsidR="00F76608">
        <w:rPr>
          <w:sz w:val="28"/>
          <w:szCs w:val="28"/>
        </w:rPr>
        <w:t>2</w:t>
      </w:r>
      <w:r w:rsidRPr="000607B7">
        <w:rPr>
          <w:sz w:val="28"/>
          <w:szCs w:val="28"/>
        </w:rPr>
        <w:t xml:space="preserve"> году </w:t>
      </w:r>
      <w:r w:rsidR="00BA3768">
        <w:rPr>
          <w:sz w:val="28"/>
          <w:szCs w:val="28"/>
        </w:rPr>
        <w:t xml:space="preserve">– </w:t>
      </w:r>
      <w:r w:rsidR="00F76608">
        <w:rPr>
          <w:sz w:val="28"/>
          <w:szCs w:val="28"/>
        </w:rPr>
        <w:t xml:space="preserve">15,0 </w:t>
      </w:r>
      <w:r w:rsidRPr="000607B7">
        <w:rPr>
          <w:sz w:val="28"/>
          <w:szCs w:val="28"/>
        </w:rPr>
        <w:t>%)</w:t>
      </w:r>
      <w:r w:rsidR="00BA3768">
        <w:rPr>
          <w:sz w:val="28"/>
          <w:szCs w:val="28"/>
        </w:rPr>
        <w:t xml:space="preserve"> и брокеров </w:t>
      </w:r>
      <w:r w:rsidR="00F76608">
        <w:rPr>
          <w:sz w:val="28"/>
          <w:szCs w:val="28"/>
        </w:rPr>
        <w:t>6,9</w:t>
      </w:r>
      <w:r w:rsidR="00BA3768">
        <w:rPr>
          <w:sz w:val="28"/>
          <w:szCs w:val="28"/>
        </w:rPr>
        <w:t xml:space="preserve"> % (в 202</w:t>
      </w:r>
      <w:r w:rsidR="00F76608">
        <w:rPr>
          <w:sz w:val="28"/>
          <w:szCs w:val="28"/>
        </w:rPr>
        <w:t>2</w:t>
      </w:r>
      <w:r w:rsidRPr="000607B7">
        <w:rPr>
          <w:sz w:val="28"/>
          <w:szCs w:val="28"/>
        </w:rPr>
        <w:t xml:space="preserve"> году </w:t>
      </w:r>
      <w:r w:rsidR="00BA3768">
        <w:rPr>
          <w:sz w:val="28"/>
          <w:szCs w:val="28"/>
        </w:rPr>
        <w:t>–</w:t>
      </w:r>
      <w:r w:rsidRPr="000607B7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10</w:t>
      </w:r>
      <w:r w:rsidRPr="000607B7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не высокая и  пользуют</w:t>
      </w:r>
      <w:r w:rsidR="00B90236" w:rsidRPr="005F7E85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ими </w:t>
      </w:r>
      <w:r w:rsidR="00B90236" w:rsidRPr="005F7E85">
        <w:rPr>
          <w:sz w:val="28"/>
          <w:szCs w:val="28"/>
        </w:rPr>
        <w:t>незначительная часть жителей округа</w:t>
      </w:r>
      <w:r>
        <w:rPr>
          <w:sz w:val="28"/>
          <w:szCs w:val="28"/>
        </w:rPr>
        <w:t>.</w:t>
      </w:r>
    </w:p>
    <w:p w:rsidR="00F948C1" w:rsidRPr="003932DA" w:rsidRDefault="00A93C12" w:rsidP="00F948C1">
      <w:pPr>
        <w:pStyle w:val="a7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доступности для населения финансовых услуг</w:t>
      </w:r>
      <w:r w:rsidR="00B66CBD">
        <w:rPr>
          <w:b/>
          <w:sz w:val="28"/>
          <w:szCs w:val="28"/>
        </w:rPr>
        <w:t>.</w:t>
      </w:r>
    </w:p>
    <w:p w:rsidR="00A93C12" w:rsidRPr="00F948C1" w:rsidRDefault="00F948C1" w:rsidP="00F948C1">
      <w:pPr>
        <w:pStyle w:val="a7"/>
        <w:ind w:left="0" w:firstLine="709"/>
        <w:jc w:val="both"/>
        <w:rPr>
          <w:sz w:val="28"/>
          <w:szCs w:val="28"/>
        </w:rPr>
      </w:pPr>
      <w:r w:rsidRPr="00F948C1">
        <w:rPr>
          <w:sz w:val="28"/>
          <w:szCs w:val="28"/>
        </w:rPr>
        <w:t>Анализ объективных пока</w:t>
      </w:r>
      <w:r>
        <w:rPr>
          <w:sz w:val="28"/>
          <w:szCs w:val="28"/>
        </w:rPr>
        <w:t>зателей позволяет сделать вывод</w:t>
      </w:r>
      <w:r w:rsidRPr="00F948C1">
        <w:rPr>
          <w:sz w:val="28"/>
          <w:szCs w:val="28"/>
        </w:rPr>
        <w:t>,</w:t>
      </w:r>
      <w:r w:rsidR="00A93143">
        <w:rPr>
          <w:sz w:val="28"/>
          <w:szCs w:val="28"/>
        </w:rPr>
        <w:t xml:space="preserve"> </w:t>
      </w:r>
      <w:r w:rsidRPr="00F948C1">
        <w:rPr>
          <w:sz w:val="28"/>
          <w:szCs w:val="28"/>
        </w:rPr>
        <w:t>что</w:t>
      </w:r>
      <w:r w:rsidR="00A93143">
        <w:rPr>
          <w:sz w:val="28"/>
          <w:szCs w:val="28"/>
        </w:rPr>
        <w:t xml:space="preserve"> </w:t>
      </w:r>
      <w:r w:rsidRPr="00F948C1">
        <w:rPr>
          <w:sz w:val="28"/>
          <w:szCs w:val="28"/>
        </w:rPr>
        <w:t xml:space="preserve">у большей части </w:t>
      </w:r>
      <w:r>
        <w:rPr>
          <w:sz w:val="28"/>
          <w:szCs w:val="28"/>
        </w:rPr>
        <w:t>респондентов</w:t>
      </w:r>
      <w:r w:rsidRPr="00F948C1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принявших участие в опросе</w:t>
      </w:r>
      <w:r w:rsidRPr="00F948C1">
        <w:rPr>
          <w:sz w:val="28"/>
          <w:szCs w:val="28"/>
        </w:rPr>
        <w:t>, есть возможность получить доступ к финансовым услугам</w:t>
      </w:r>
      <w:r w:rsidR="007D6F05">
        <w:rPr>
          <w:sz w:val="28"/>
          <w:szCs w:val="28"/>
        </w:rPr>
        <w:t>.</w:t>
      </w:r>
    </w:p>
    <w:p w:rsidR="00DB5769" w:rsidRPr="00727285" w:rsidRDefault="00727285" w:rsidP="00727285">
      <w:pPr>
        <w:pStyle w:val="a7"/>
        <w:ind w:left="0" w:firstLine="709"/>
        <w:jc w:val="both"/>
      </w:pPr>
      <w:r w:rsidRPr="00727285">
        <w:rPr>
          <w:sz w:val="28"/>
          <w:szCs w:val="28"/>
        </w:rPr>
        <w:t xml:space="preserve">В отношении доступности каналов обслуживания респонденты считают, что на территории Нефтекумского </w:t>
      </w:r>
      <w:r w:rsidR="000B4896">
        <w:rPr>
          <w:sz w:val="28"/>
          <w:szCs w:val="28"/>
        </w:rPr>
        <w:t>муниципального</w:t>
      </w:r>
      <w:r w:rsidRPr="00727285">
        <w:rPr>
          <w:sz w:val="28"/>
          <w:szCs w:val="28"/>
        </w:rPr>
        <w:t xml:space="preserve"> округа Ставропольского края наиболее </w:t>
      </w:r>
      <w:proofErr w:type="gramStart"/>
      <w:r w:rsidRPr="00727285">
        <w:rPr>
          <w:sz w:val="28"/>
          <w:szCs w:val="28"/>
        </w:rPr>
        <w:t>легко доступными</w:t>
      </w:r>
      <w:proofErr w:type="gramEnd"/>
      <w:r w:rsidRPr="00727285">
        <w:rPr>
          <w:sz w:val="28"/>
          <w:szCs w:val="28"/>
        </w:rPr>
        <w:t>, явля</w:t>
      </w:r>
      <w:r>
        <w:rPr>
          <w:sz w:val="28"/>
          <w:szCs w:val="28"/>
        </w:rPr>
        <w:t xml:space="preserve">ются почтовые отделения связи </w:t>
      </w:r>
      <w:r w:rsidR="00F76608">
        <w:rPr>
          <w:sz w:val="28"/>
          <w:szCs w:val="28"/>
        </w:rPr>
        <w:t>86</w:t>
      </w:r>
      <w:r>
        <w:rPr>
          <w:sz w:val="28"/>
          <w:szCs w:val="28"/>
        </w:rPr>
        <w:t xml:space="preserve"> % (в 202</w:t>
      </w:r>
      <w:r w:rsidR="00F76608">
        <w:rPr>
          <w:sz w:val="28"/>
          <w:szCs w:val="28"/>
        </w:rPr>
        <w:t>2</w:t>
      </w:r>
      <w:r w:rsidRPr="00727285">
        <w:rPr>
          <w:sz w:val="28"/>
          <w:szCs w:val="28"/>
        </w:rPr>
        <w:t xml:space="preserve"> году - </w:t>
      </w:r>
      <w:r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93</w:t>
      </w:r>
      <w:r w:rsidRPr="00727285">
        <w:rPr>
          <w:sz w:val="28"/>
          <w:szCs w:val="28"/>
        </w:rPr>
        <w:t xml:space="preserve"> %</w:t>
      </w:r>
      <w:r>
        <w:rPr>
          <w:sz w:val="28"/>
          <w:szCs w:val="28"/>
        </w:rPr>
        <w:t>).</w:t>
      </w:r>
    </w:p>
    <w:p w:rsidR="00834717" w:rsidRDefault="001C1F93" w:rsidP="00F7660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</w:t>
      </w:r>
      <w:r w:rsidR="00A55895">
        <w:rPr>
          <w:sz w:val="28"/>
          <w:szCs w:val="28"/>
        </w:rPr>
        <w:t xml:space="preserve"> кассы в отделении банка,</w:t>
      </w:r>
      <w:r>
        <w:rPr>
          <w:sz w:val="28"/>
          <w:szCs w:val="28"/>
        </w:rPr>
        <w:t xml:space="preserve"> банкоматов</w:t>
      </w:r>
      <w:r w:rsidR="00CF150D">
        <w:rPr>
          <w:sz w:val="28"/>
          <w:szCs w:val="28"/>
        </w:rPr>
        <w:t xml:space="preserve"> или терминалов</w:t>
      </w:r>
      <w:r>
        <w:rPr>
          <w:sz w:val="28"/>
          <w:szCs w:val="28"/>
        </w:rPr>
        <w:t xml:space="preserve"> без функции выдачи наличных денег расположенных в отделении банка и платежных терминалов для приема наличных денег</w:t>
      </w:r>
      <w:r w:rsidR="00834717">
        <w:rPr>
          <w:sz w:val="28"/>
          <w:szCs w:val="28"/>
        </w:rPr>
        <w:t xml:space="preserve">, в среднем </w:t>
      </w:r>
      <w:r w:rsidR="00F76608">
        <w:rPr>
          <w:sz w:val="28"/>
          <w:szCs w:val="28"/>
        </w:rPr>
        <w:t>61</w:t>
      </w:r>
      <w:r w:rsidR="00A55895">
        <w:rPr>
          <w:sz w:val="28"/>
          <w:szCs w:val="28"/>
        </w:rPr>
        <w:t xml:space="preserve"> </w:t>
      </w:r>
      <w:r w:rsidR="00834717">
        <w:rPr>
          <w:sz w:val="28"/>
          <w:szCs w:val="28"/>
        </w:rPr>
        <w:t xml:space="preserve">% </w:t>
      </w:r>
      <w:r w:rsidR="00727285">
        <w:rPr>
          <w:sz w:val="28"/>
          <w:szCs w:val="28"/>
        </w:rPr>
        <w:t>(в 202</w:t>
      </w:r>
      <w:r w:rsidR="00F76608">
        <w:rPr>
          <w:sz w:val="28"/>
          <w:szCs w:val="28"/>
        </w:rPr>
        <w:t>2</w:t>
      </w:r>
      <w:r w:rsidR="00A55895" w:rsidRPr="00A55895">
        <w:rPr>
          <w:sz w:val="28"/>
          <w:szCs w:val="28"/>
        </w:rPr>
        <w:t xml:space="preserve"> году </w:t>
      </w:r>
      <w:r w:rsidR="00727285">
        <w:rPr>
          <w:sz w:val="28"/>
          <w:szCs w:val="28"/>
        </w:rPr>
        <w:t>–</w:t>
      </w:r>
      <w:r w:rsidR="00A55895" w:rsidRPr="00A55895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45,6</w:t>
      </w:r>
      <w:r w:rsidR="00A55895" w:rsidRPr="00A55895">
        <w:rPr>
          <w:sz w:val="28"/>
          <w:szCs w:val="28"/>
        </w:rPr>
        <w:t xml:space="preserve"> %)</w:t>
      </w:r>
      <w:r w:rsidR="00A55895">
        <w:rPr>
          <w:sz w:val="28"/>
          <w:szCs w:val="28"/>
        </w:rPr>
        <w:t xml:space="preserve"> </w:t>
      </w:r>
      <w:r w:rsidR="00834717">
        <w:rPr>
          <w:sz w:val="28"/>
          <w:szCs w:val="28"/>
        </w:rPr>
        <w:t>опрошенных указало на их доступность.</w:t>
      </w:r>
      <w:r w:rsidR="00A55895">
        <w:rPr>
          <w:sz w:val="28"/>
          <w:szCs w:val="28"/>
        </w:rPr>
        <w:t xml:space="preserve"> </w:t>
      </w:r>
      <w:r w:rsidR="00834717">
        <w:rPr>
          <w:sz w:val="28"/>
          <w:szCs w:val="28"/>
        </w:rPr>
        <w:t xml:space="preserve">В свою </w:t>
      </w:r>
      <w:proofErr w:type="gramStart"/>
      <w:r w:rsidR="00834717">
        <w:rPr>
          <w:sz w:val="28"/>
          <w:szCs w:val="28"/>
        </w:rPr>
        <w:t>очередь</w:t>
      </w:r>
      <w:proofErr w:type="gramEnd"/>
      <w:r w:rsidR="00727285">
        <w:rPr>
          <w:sz w:val="28"/>
          <w:szCs w:val="28"/>
        </w:rPr>
        <w:t xml:space="preserve"> как и в прошлом году в среднем</w:t>
      </w:r>
      <w:r w:rsidR="00834717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47</w:t>
      </w:r>
      <w:r w:rsidR="00A55895">
        <w:rPr>
          <w:sz w:val="28"/>
          <w:szCs w:val="28"/>
        </w:rPr>
        <w:t xml:space="preserve"> </w:t>
      </w:r>
      <w:r w:rsidR="00834717">
        <w:rPr>
          <w:sz w:val="28"/>
          <w:szCs w:val="28"/>
        </w:rPr>
        <w:t xml:space="preserve">% </w:t>
      </w:r>
      <w:r w:rsidR="00727285">
        <w:rPr>
          <w:sz w:val="28"/>
          <w:szCs w:val="28"/>
        </w:rPr>
        <w:t>(в 202</w:t>
      </w:r>
      <w:r w:rsidR="00F76608">
        <w:rPr>
          <w:sz w:val="28"/>
          <w:szCs w:val="28"/>
        </w:rPr>
        <w:t>2</w:t>
      </w:r>
      <w:r w:rsidR="00A55895" w:rsidRPr="00A55895">
        <w:rPr>
          <w:sz w:val="28"/>
          <w:szCs w:val="28"/>
        </w:rPr>
        <w:t xml:space="preserve"> году – </w:t>
      </w:r>
      <w:r w:rsidR="00727285">
        <w:rPr>
          <w:sz w:val="28"/>
          <w:szCs w:val="28"/>
        </w:rPr>
        <w:t>27</w:t>
      </w:r>
      <w:r w:rsidR="00A55895" w:rsidRPr="00A55895">
        <w:rPr>
          <w:sz w:val="28"/>
          <w:szCs w:val="28"/>
        </w:rPr>
        <w:t>%)</w:t>
      </w:r>
      <w:r w:rsidR="00A55895">
        <w:rPr>
          <w:sz w:val="28"/>
          <w:szCs w:val="28"/>
        </w:rPr>
        <w:t xml:space="preserve"> </w:t>
      </w:r>
      <w:r w:rsidR="00834717">
        <w:rPr>
          <w:sz w:val="28"/>
          <w:szCs w:val="28"/>
        </w:rPr>
        <w:t xml:space="preserve">респондентов считают, что </w:t>
      </w:r>
      <w:r w:rsidR="00834717">
        <w:rPr>
          <w:sz w:val="28"/>
          <w:szCs w:val="28"/>
          <w:lang w:val="en-US"/>
        </w:rPr>
        <w:t>POS</w:t>
      </w:r>
      <w:r w:rsidR="00834717">
        <w:rPr>
          <w:sz w:val="28"/>
          <w:szCs w:val="28"/>
        </w:rPr>
        <w:t>-терминалы для безнали</w:t>
      </w:r>
      <w:r w:rsidR="007371C8">
        <w:rPr>
          <w:sz w:val="28"/>
          <w:szCs w:val="28"/>
        </w:rPr>
        <w:t>чного расчета банковской картой</w:t>
      </w:r>
      <w:r w:rsidR="00834717">
        <w:rPr>
          <w:sz w:val="28"/>
          <w:szCs w:val="28"/>
        </w:rPr>
        <w:t xml:space="preserve"> есть </w:t>
      </w:r>
      <w:r w:rsidR="007371C8">
        <w:rPr>
          <w:sz w:val="28"/>
          <w:szCs w:val="28"/>
        </w:rPr>
        <w:t>практически в каждой органи</w:t>
      </w:r>
      <w:r w:rsidR="005554F8">
        <w:rPr>
          <w:sz w:val="28"/>
          <w:szCs w:val="28"/>
        </w:rPr>
        <w:t xml:space="preserve">зации торговли. </w:t>
      </w:r>
    </w:p>
    <w:p w:rsidR="00F06FC6" w:rsidRPr="00F06FC6" w:rsidRDefault="00554D5E" w:rsidP="0055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всего </w:t>
      </w:r>
      <w:r w:rsidR="00F76608">
        <w:rPr>
          <w:sz w:val="28"/>
          <w:szCs w:val="28"/>
        </w:rPr>
        <w:t>30,8</w:t>
      </w:r>
      <w:r>
        <w:rPr>
          <w:sz w:val="28"/>
          <w:szCs w:val="28"/>
        </w:rPr>
        <w:t xml:space="preserve"> %</w:t>
      </w:r>
      <w:r w:rsidR="00A55895">
        <w:rPr>
          <w:sz w:val="28"/>
          <w:szCs w:val="28"/>
        </w:rPr>
        <w:t xml:space="preserve"> респондентов</w:t>
      </w:r>
      <w:r w:rsidR="00A55895" w:rsidRPr="008B531E">
        <w:rPr>
          <w:sz w:val="28"/>
          <w:szCs w:val="28"/>
        </w:rPr>
        <w:t xml:space="preserve"> тратят много времени на доступ к </w:t>
      </w:r>
      <w:r w:rsidR="00A55895">
        <w:rPr>
          <w:sz w:val="28"/>
          <w:szCs w:val="28"/>
        </w:rPr>
        <w:t>каналам</w:t>
      </w:r>
      <w:r w:rsidR="00A55895" w:rsidRPr="008B531E">
        <w:rPr>
          <w:sz w:val="28"/>
          <w:szCs w:val="28"/>
        </w:rPr>
        <w:t xml:space="preserve"> обслуживания клиентов. </w:t>
      </w:r>
      <w:r w:rsidR="00F06FC6" w:rsidRPr="00F06FC6">
        <w:rPr>
          <w:sz w:val="28"/>
          <w:szCs w:val="28"/>
        </w:rPr>
        <w:t>Эти данные по</w:t>
      </w:r>
      <w:r w:rsidR="00F06FC6">
        <w:rPr>
          <w:sz w:val="28"/>
          <w:szCs w:val="28"/>
        </w:rPr>
        <w:t xml:space="preserve">зволяют сделать вывод о высоком </w:t>
      </w:r>
      <w:r w:rsidR="00F06FC6" w:rsidRPr="00F06FC6">
        <w:rPr>
          <w:sz w:val="28"/>
          <w:szCs w:val="28"/>
        </w:rPr>
        <w:t>насыщении</w:t>
      </w:r>
      <w:r w:rsidR="00F06FC6">
        <w:rPr>
          <w:sz w:val="28"/>
          <w:szCs w:val="28"/>
        </w:rPr>
        <w:t xml:space="preserve"> каналов доступа к финансовым продуктам (услугам)</w:t>
      </w:r>
      <w:r w:rsidR="00F06FC6" w:rsidRPr="00F06FC6">
        <w:rPr>
          <w:sz w:val="28"/>
          <w:szCs w:val="28"/>
        </w:rPr>
        <w:t>, то есть найти хотя бы один канал получения финансовых услуг могут практически все категории населения.</w:t>
      </w:r>
    </w:p>
    <w:sectPr w:rsidR="00F06FC6" w:rsidRPr="00F06FC6" w:rsidSect="00E1016D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896"/>
    <w:multiLevelType w:val="hybridMultilevel"/>
    <w:tmpl w:val="15EC5F5C"/>
    <w:lvl w:ilvl="0" w:tplc="374E0D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071D2"/>
    <w:multiLevelType w:val="hybridMultilevel"/>
    <w:tmpl w:val="DDD26D8A"/>
    <w:lvl w:ilvl="0" w:tplc="59629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14854"/>
    <w:multiLevelType w:val="hybridMultilevel"/>
    <w:tmpl w:val="2E8637BC"/>
    <w:lvl w:ilvl="0" w:tplc="F62486D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0F1E68"/>
    <w:multiLevelType w:val="hybridMultilevel"/>
    <w:tmpl w:val="DA44E318"/>
    <w:lvl w:ilvl="0" w:tplc="E10C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9C5B6A"/>
    <w:multiLevelType w:val="hybridMultilevel"/>
    <w:tmpl w:val="01603A22"/>
    <w:lvl w:ilvl="0" w:tplc="0E66D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93451F"/>
    <w:multiLevelType w:val="hybridMultilevel"/>
    <w:tmpl w:val="0904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623D0B"/>
    <w:rsid w:val="000020C0"/>
    <w:rsid w:val="0000495B"/>
    <w:rsid w:val="000061C6"/>
    <w:rsid w:val="00011124"/>
    <w:rsid w:val="0001157D"/>
    <w:rsid w:val="00013587"/>
    <w:rsid w:val="000151D2"/>
    <w:rsid w:val="00015B59"/>
    <w:rsid w:val="00016788"/>
    <w:rsid w:val="00016D66"/>
    <w:rsid w:val="0001749E"/>
    <w:rsid w:val="00021136"/>
    <w:rsid w:val="00023C51"/>
    <w:rsid w:val="000251F4"/>
    <w:rsid w:val="00025B93"/>
    <w:rsid w:val="00025F0C"/>
    <w:rsid w:val="00031DFD"/>
    <w:rsid w:val="00033D29"/>
    <w:rsid w:val="000347E1"/>
    <w:rsid w:val="00034DAE"/>
    <w:rsid w:val="00035FCA"/>
    <w:rsid w:val="000364A6"/>
    <w:rsid w:val="00044E47"/>
    <w:rsid w:val="00045592"/>
    <w:rsid w:val="00050C5A"/>
    <w:rsid w:val="000511EA"/>
    <w:rsid w:val="00052ED5"/>
    <w:rsid w:val="000556F9"/>
    <w:rsid w:val="00055A42"/>
    <w:rsid w:val="000607B7"/>
    <w:rsid w:val="0006109A"/>
    <w:rsid w:val="0006113B"/>
    <w:rsid w:val="0006174C"/>
    <w:rsid w:val="00063377"/>
    <w:rsid w:val="00064254"/>
    <w:rsid w:val="00064D96"/>
    <w:rsid w:val="00066FBB"/>
    <w:rsid w:val="00067B6C"/>
    <w:rsid w:val="0007134B"/>
    <w:rsid w:val="000736B3"/>
    <w:rsid w:val="00075148"/>
    <w:rsid w:val="00077A83"/>
    <w:rsid w:val="000800C0"/>
    <w:rsid w:val="00081F61"/>
    <w:rsid w:val="00082D8A"/>
    <w:rsid w:val="00084F4E"/>
    <w:rsid w:val="00085BF2"/>
    <w:rsid w:val="000914A6"/>
    <w:rsid w:val="000918A0"/>
    <w:rsid w:val="00092FDB"/>
    <w:rsid w:val="00093A32"/>
    <w:rsid w:val="00094B38"/>
    <w:rsid w:val="000956B8"/>
    <w:rsid w:val="00096E53"/>
    <w:rsid w:val="000A15A4"/>
    <w:rsid w:val="000A1FF5"/>
    <w:rsid w:val="000A4E10"/>
    <w:rsid w:val="000A5FEB"/>
    <w:rsid w:val="000A6579"/>
    <w:rsid w:val="000B24CA"/>
    <w:rsid w:val="000B387B"/>
    <w:rsid w:val="000B4896"/>
    <w:rsid w:val="000B6D2A"/>
    <w:rsid w:val="000B7B89"/>
    <w:rsid w:val="000B7BDA"/>
    <w:rsid w:val="000B7F08"/>
    <w:rsid w:val="000C0E00"/>
    <w:rsid w:val="000C25CF"/>
    <w:rsid w:val="000C2B89"/>
    <w:rsid w:val="000C31BA"/>
    <w:rsid w:val="000C55BB"/>
    <w:rsid w:val="000C63E5"/>
    <w:rsid w:val="000D1E1F"/>
    <w:rsid w:val="000D252A"/>
    <w:rsid w:val="000D336A"/>
    <w:rsid w:val="000D4913"/>
    <w:rsid w:val="000E7D4A"/>
    <w:rsid w:val="000F2407"/>
    <w:rsid w:val="001018F4"/>
    <w:rsid w:val="001020FF"/>
    <w:rsid w:val="00103EF0"/>
    <w:rsid w:val="001041CC"/>
    <w:rsid w:val="001044E0"/>
    <w:rsid w:val="0010461B"/>
    <w:rsid w:val="001078BC"/>
    <w:rsid w:val="0011040B"/>
    <w:rsid w:val="00110C99"/>
    <w:rsid w:val="00111F9D"/>
    <w:rsid w:val="001124C9"/>
    <w:rsid w:val="001235FD"/>
    <w:rsid w:val="00123FEC"/>
    <w:rsid w:val="001244D3"/>
    <w:rsid w:val="00124BAD"/>
    <w:rsid w:val="00132365"/>
    <w:rsid w:val="00134B43"/>
    <w:rsid w:val="001350B1"/>
    <w:rsid w:val="00136B3A"/>
    <w:rsid w:val="0013706F"/>
    <w:rsid w:val="00140538"/>
    <w:rsid w:val="00143547"/>
    <w:rsid w:val="00143773"/>
    <w:rsid w:val="00143B43"/>
    <w:rsid w:val="00144661"/>
    <w:rsid w:val="00144DB6"/>
    <w:rsid w:val="00147CF0"/>
    <w:rsid w:val="00152A8F"/>
    <w:rsid w:val="00157E51"/>
    <w:rsid w:val="00164638"/>
    <w:rsid w:val="00164815"/>
    <w:rsid w:val="00165A2C"/>
    <w:rsid w:val="00166B3C"/>
    <w:rsid w:val="0017018E"/>
    <w:rsid w:val="001701B8"/>
    <w:rsid w:val="0017074B"/>
    <w:rsid w:val="00173478"/>
    <w:rsid w:val="0017790F"/>
    <w:rsid w:val="001809B3"/>
    <w:rsid w:val="0018181A"/>
    <w:rsid w:val="00183123"/>
    <w:rsid w:val="001855B3"/>
    <w:rsid w:val="001923C8"/>
    <w:rsid w:val="0019397F"/>
    <w:rsid w:val="001A1D34"/>
    <w:rsid w:val="001A7C0D"/>
    <w:rsid w:val="001B301B"/>
    <w:rsid w:val="001B3A9A"/>
    <w:rsid w:val="001B5A11"/>
    <w:rsid w:val="001B62E8"/>
    <w:rsid w:val="001B683F"/>
    <w:rsid w:val="001B6A6D"/>
    <w:rsid w:val="001B789B"/>
    <w:rsid w:val="001C004D"/>
    <w:rsid w:val="001C1F93"/>
    <w:rsid w:val="001C2322"/>
    <w:rsid w:val="001C28C8"/>
    <w:rsid w:val="001C4F30"/>
    <w:rsid w:val="001C5BBD"/>
    <w:rsid w:val="001C671D"/>
    <w:rsid w:val="001C78E3"/>
    <w:rsid w:val="001C7BC8"/>
    <w:rsid w:val="001D720B"/>
    <w:rsid w:val="001E1695"/>
    <w:rsid w:val="001E238A"/>
    <w:rsid w:val="001E339B"/>
    <w:rsid w:val="001E38CA"/>
    <w:rsid w:val="001E698F"/>
    <w:rsid w:val="001E7117"/>
    <w:rsid w:val="001F3ED8"/>
    <w:rsid w:val="001F4DC2"/>
    <w:rsid w:val="001F5E91"/>
    <w:rsid w:val="001F6518"/>
    <w:rsid w:val="001F6D60"/>
    <w:rsid w:val="001F7A04"/>
    <w:rsid w:val="001F7D51"/>
    <w:rsid w:val="00200DFD"/>
    <w:rsid w:val="00202E46"/>
    <w:rsid w:val="00203E6E"/>
    <w:rsid w:val="002041D9"/>
    <w:rsid w:val="002064BD"/>
    <w:rsid w:val="00211F0C"/>
    <w:rsid w:val="00213448"/>
    <w:rsid w:val="0021439F"/>
    <w:rsid w:val="002149BA"/>
    <w:rsid w:val="00217972"/>
    <w:rsid w:val="00224F47"/>
    <w:rsid w:val="00227F3F"/>
    <w:rsid w:val="002333F3"/>
    <w:rsid w:val="00235483"/>
    <w:rsid w:val="0024030E"/>
    <w:rsid w:val="00240A4D"/>
    <w:rsid w:val="00242F21"/>
    <w:rsid w:val="00242FDD"/>
    <w:rsid w:val="00244111"/>
    <w:rsid w:val="002442B4"/>
    <w:rsid w:val="002442E6"/>
    <w:rsid w:val="00244F25"/>
    <w:rsid w:val="00250685"/>
    <w:rsid w:val="00260A2E"/>
    <w:rsid w:val="0026229E"/>
    <w:rsid w:val="00265E7E"/>
    <w:rsid w:val="00266743"/>
    <w:rsid w:val="002674C3"/>
    <w:rsid w:val="00267C53"/>
    <w:rsid w:val="00270BB2"/>
    <w:rsid w:val="00270FAD"/>
    <w:rsid w:val="00272E6F"/>
    <w:rsid w:val="002749FB"/>
    <w:rsid w:val="00276E67"/>
    <w:rsid w:val="00277EFA"/>
    <w:rsid w:val="00280AF5"/>
    <w:rsid w:val="002826B3"/>
    <w:rsid w:val="00282F9D"/>
    <w:rsid w:val="00283608"/>
    <w:rsid w:val="00283650"/>
    <w:rsid w:val="0028454E"/>
    <w:rsid w:val="00287BA3"/>
    <w:rsid w:val="00291D8D"/>
    <w:rsid w:val="00294D8B"/>
    <w:rsid w:val="002972F5"/>
    <w:rsid w:val="002A101B"/>
    <w:rsid w:val="002A22E0"/>
    <w:rsid w:val="002A3013"/>
    <w:rsid w:val="002B064E"/>
    <w:rsid w:val="002B39A7"/>
    <w:rsid w:val="002B580D"/>
    <w:rsid w:val="002B6289"/>
    <w:rsid w:val="002B6C60"/>
    <w:rsid w:val="002C12BC"/>
    <w:rsid w:val="002C130B"/>
    <w:rsid w:val="002C1A8B"/>
    <w:rsid w:val="002C3206"/>
    <w:rsid w:val="002C3717"/>
    <w:rsid w:val="002C51DE"/>
    <w:rsid w:val="002C589A"/>
    <w:rsid w:val="002C75C4"/>
    <w:rsid w:val="002D0E25"/>
    <w:rsid w:val="002D1018"/>
    <w:rsid w:val="002D1520"/>
    <w:rsid w:val="002E0739"/>
    <w:rsid w:val="002E1F68"/>
    <w:rsid w:val="002E241A"/>
    <w:rsid w:val="002E4AA8"/>
    <w:rsid w:val="002E5395"/>
    <w:rsid w:val="002E6FD4"/>
    <w:rsid w:val="002F0A14"/>
    <w:rsid w:val="002F0DE1"/>
    <w:rsid w:val="002F1FDA"/>
    <w:rsid w:val="002F27AF"/>
    <w:rsid w:val="002F2E92"/>
    <w:rsid w:val="002F49E4"/>
    <w:rsid w:val="002F669C"/>
    <w:rsid w:val="00303355"/>
    <w:rsid w:val="0030411D"/>
    <w:rsid w:val="003044F6"/>
    <w:rsid w:val="00305D00"/>
    <w:rsid w:val="003067FD"/>
    <w:rsid w:val="00306C79"/>
    <w:rsid w:val="00314577"/>
    <w:rsid w:val="00315D03"/>
    <w:rsid w:val="00321EEB"/>
    <w:rsid w:val="00322A44"/>
    <w:rsid w:val="00331497"/>
    <w:rsid w:val="00331CC6"/>
    <w:rsid w:val="00333FEF"/>
    <w:rsid w:val="003354AE"/>
    <w:rsid w:val="003357AF"/>
    <w:rsid w:val="00341B6C"/>
    <w:rsid w:val="00342829"/>
    <w:rsid w:val="00346142"/>
    <w:rsid w:val="0034615C"/>
    <w:rsid w:val="00346A49"/>
    <w:rsid w:val="00347443"/>
    <w:rsid w:val="00351971"/>
    <w:rsid w:val="00351E6E"/>
    <w:rsid w:val="00353D9A"/>
    <w:rsid w:val="003549D1"/>
    <w:rsid w:val="00354A92"/>
    <w:rsid w:val="003610A3"/>
    <w:rsid w:val="003611FC"/>
    <w:rsid w:val="0036198E"/>
    <w:rsid w:val="00361D47"/>
    <w:rsid w:val="00361DED"/>
    <w:rsid w:val="00363117"/>
    <w:rsid w:val="0036341F"/>
    <w:rsid w:val="0036568F"/>
    <w:rsid w:val="00365D05"/>
    <w:rsid w:val="00366084"/>
    <w:rsid w:val="0036698A"/>
    <w:rsid w:val="00367541"/>
    <w:rsid w:val="003701F1"/>
    <w:rsid w:val="00370ED1"/>
    <w:rsid w:val="00372BB1"/>
    <w:rsid w:val="00376CB9"/>
    <w:rsid w:val="00382771"/>
    <w:rsid w:val="00385852"/>
    <w:rsid w:val="00385DF9"/>
    <w:rsid w:val="0038614A"/>
    <w:rsid w:val="0038789C"/>
    <w:rsid w:val="00390A98"/>
    <w:rsid w:val="003932DA"/>
    <w:rsid w:val="0039378B"/>
    <w:rsid w:val="00395FA0"/>
    <w:rsid w:val="00397317"/>
    <w:rsid w:val="003A14C6"/>
    <w:rsid w:val="003A2597"/>
    <w:rsid w:val="003A49FA"/>
    <w:rsid w:val="003A7666"/>
    <w:rsid w:val="003B0AF3"/>
    <w:rsid w:val="003B10D1"/>
    <w:rsid w:val="003B6438"/>
    <w:rsid w:val="003C4492"/>
    <w:rsid w:val="003C6F08"/>
    <w:rsid w:val="003D0BE2"/>
    <w:rsid w:val="003D14B0"/>
    <w:rsid w:val="003D18A9"/>
    <w:rsid w:val="003D4FDC"/>
    <w:rsid w:val="003D609C"/>
    <w:rsid w:val="003D692F"/>
    <w:rsid w:val="003D6AB2"/>
    <w:rsid w:val="003D7583"/>
    <w:rsid w:val="003E03E9"/>
    <w:rsid w:val="003E5FA0"/>
    <w:rsid w:val="003F3EEB"/>
    <w:rsid w:val="004021C1"/>
    <w:rsid w:val="0040711E"/>
    <w:rsid w:val="00407AE6"/>
    <w:rsid w:val="00407FC5"/>
    <w:rsid w:val="00410D73"/>
    <w:rsid w:val="0041128D"/>
    <w:rsid w:val="00411D17"/>
    <w:rsid w:val="00413048"/>
    <w:rsid w:val="00415640"/>
    <w:rsid w:val="0041692E"/>
    <w:rsid w:val="00416E8B"/>
    <w:rsid w:val="00417161"/>
    <w:rsid w:val="00420B19"/>
    <w:rsid w:val="00423029"/>
    <w:rsid w:val="004247B8"/>
    <w:rsid w:val="00425009"/>
    <w:rsid w:val="00425B17"/>
    <w:rsid w:val="004270E1"/>
    <w:rsid w:val="00432AB5"/>
    <w:rsid w:val="004355EC"/>
    <w:rsid w:val="004369B7"/>
    <w:rsid w:val="00437241"/>
    <w:rsid w:val="0044248C"/>
    <w:rsid w:val="00446AC1"/>
    <w:rsid w:val="00447175"/>
    <w:rsid w:val="00452B6C"/>
    <w:rsid w:val="004530F1"/>
    <w:rsid w:val="0045406E"/>
    <w:rsid w:val="00454672"/>
    <w:rsid w:val="00456050"/>
    <w:rsid w:val="0045737F"/>
    <w:rsid w:val="00461A71"/>
    <w:rsid w:val="00462F44"/>
    <w:rsid w:val="00463000"/>
    <w:rsid w:val="00464FC0"/>
    <w:rsid w:val="00465D27"/>
    <w:rsid w:val="004661F7"/>
    <w:rsid w:val="0046649C"/>
    <w:rsid w:val="00466658"/>
    <w:rsid w:val="004716DE"/>
    <w:rsid w:val="00473A2D"/>
    <w:rsid w:val="00484401"/>
    <w:rsid w:val="004845E8"/>
    <w:rsid w:val="00484CB5"/>
    <w:rsid w:val="00485403"/>
    <w:rsid w:val="00486486"/>
    <w:rsid w:val="00486F24"/>
    <w:rsid w:val="0049154E"/>
    <w:rsid w:val="00492A09"/>
    <w:rsid w:val="00492B20"/>
    <w:rsid w:val="0049414C"/>
    <w:rsid w:val="0049454E"/>
    <w:rsid w:val="0049481C"/>
    <w:rsid w:val="00497159"/>
    <w:rsid w:val="004A11F6"/>
    <w:rsid w:val="004A2265"/>
    <w:rsid w:val="004A3B89"/>
    <w:rsid w:val="004A3E7B"/>
    <w:rsid w:val="004A763A"/>
    <w:rsid w:val="004B07B5"/>
    <w:rsid w:val="004B36C3"/>
    <w:rsid w:val="004B5693"/>
    <w:rsid w:val="004B63E3"/>
    <w:rsid w:val="004B7654"/>
    <w:rsid w:val="004C0840"/>
    <w:rsid w:val="004C0F6E"/>
    <w:rsid w:val="004C66C6"/>
    <w:rsid w:val="004C676B"/>
    <w:rsid w:val="004D0D29"/>
    <w:rsid w:val="004D5932"/>
    <w:rsid w:val="004D6428"/>
    <w:rsid w:val="004E29C4"/>
    <w:rsid w:val="004E5363"/>
    <w:rsid w:val="004E6336"/>
    <w:rsid w:val="004E6C83"/>
    <w:rsid w:val="004F0AC4"/>
    <w:rsid w:val="004F1BF2"/>
    <w:rsid w:val="004F1F6E"/>
    <w:rsid w:val="004F2505"/>
    <w:rsid w:val="004F2F4E"/>
    <w:rsid w:val="004F3F2C"/>
    <w:rsid w:val="004F5503"/>
    <w:rsid w:val="004F7FD7"/>
    <w:rsid w:val="00500339"/>
    <w:rsid w:val="00501903"/>
    <w:rsid w:val="005051FC"/>
    <w:rsid w:val="00505B4F"/>
    <w:rsid w:val="00507EEC"/>
    <w:rsid w:val="00511947"/>
    <w:rsid w:val="0051278D"/>
    <w:rsid w:val="0051319F"/>
    <w:rsid w:val="00514323"/>
    <w:rsid w:val="005143A4"/>
    <w:rsid w:val="00514889"/>
    <w:rsid w:val="005167EB"/>
    <w:rsid w:val="00522D51"/>
    <w:rsid w:val="00522D9A"/>
    <w:rsid w:val="0052625F"/>
    <w:rsid w:val="00526477"/>
    <w:rsid w:val="00527340"/>
    <w:rsid w:val="00527B2D"/>
    <w:rsid w:val="00530773"/>
    <w:rsid w:val="00532EE5"/>
    <w:rsid w:val="00535D92"/>
    <w:rsid w:val="00536927"/>
    <w:rsid w:val="005405C7"/>
    <w:rsid w:val="0054389C"/>
    <w:rsid w:val="00545BCE"/>
    <w:rsid w:val="0054644A"/>
    <w:rsid w:val="0054660D"/>
    <w:rsid w:val="00547E2C"/>
    <w:rsid w:val="00550BA8"/>
    <w:rsid w:val="005530B4"/>
    <w:rsid w:val="0055362C"/>
    <w:rsid w:val="00553C87"/>
    <w:rsid w:val="00554BB7"/>
    <w:rsid w:val="00554D5E"/>
    <w:rsid w:val="005554F8"/>
    <w:rsid w:val="00556236"/>
    <w:rsid w:val="00560610"/>
    <w:rsid w:val="00563186"/>
    <w:rsid w:val="00564E8A"/>
    <w:rsid w:val="0056779D"/>
    <w:rsid w:val="00571B9F"/>
    <w:rsid w:val="00574FD4"/>
    <w:rsid w:val="00575466"/>
    <w:rsid w:val="0057566C"/>
    <w:rsid w:val="0057584B"/>
    <w:rsid w:val="00576DB6"/>
    <w:rsid w:val="00577E9D"/>
    <w:rsid w:val="00580303"/>
    <w:rsid w:val="0058221B"/>
    <w:rsid w:val="005873EB"/>
    <w:rsid w:val="005910CB"/>
    <w:rsid w:val="00591733"/>
    <w:rsid w:val="00592C21"/>
    <w:rsid w:val="00594D37"/>
    <w:rsid w:val="00595B24"/>
    <w:rsid w:val="00597635"/>
    <w:rsid w:val="00597FF2"/>
    <w:rsid w:val="005A0B7F"/>
    <w:rsid w:val="005A130B"/>
    <w:rsid w:val="005A2186"/>
    <w:rsid w:val="005A28C4"/>
    <w:rsid w:val="005A5645"/>
    <w:rsid w:val="005A7DB4"/>
    <w:rsid w:val="005B0ADD"/>
    <w:rsid w:val="005B2610"/>
    <w:rsid w:val="005B3651"/>
    <w:rsid w:val="005B4453"/>
    <w:rsid w:val="005B56CE"/>
    <w:rsid w:val="005B5DF3"/>
    <w:rsid w:val="005C08CF"/>
    <w:rsid w:val="005C3057"/>
    <w:rsid w:val="005C3F8C"/>
    <w:rsid w:val="005C4076"/>
    <w:rsid w:val="005C6143"/>
    <w:rsid w:val="005D05FE"/>
    <w:rsid w:val="005D4383"/>
    <w:rsid w:val="005D792F"/>
    <w:rsid w:val="005E2536"/>
    <w:rsid w:val="005E302F"/>
    <w:rsid w:val="005E47A9"/>
    <w:rsid w:val="005E6031"/>
    <w:rsid w:val="005E67D5"/>
    <w:rsid w:val="005E740D"/>
    <w:rsid w:val="005E74FE"/>
    <w:rsid w:val="005F2926"/>
    <w:rsid w:val="005F5C15"/>
    <w:rsid w:val="005F64BA"/>
    <w:rsid w:val="005F66F5"/>
    <w:rsid w:val="005F739F"/>
    <w:rsid w:val="00602089"/>
    <w:rsid w:val="0060401A"/>
    <w:rsid w:val="00606634"/>
    <w:rsid w:val="00607CAB"/>
    <w:rsid w:val="00611AA2"/>
    <w:rsid w:val="00614168"/>
    <w:rsid w:val="00621579"/>
    <w:rsid w:val="00622852"/>
    <w:rsid w:val="00623D0B"/>
    <w:rsid w:val="00627940"/>
    <w:rsid w:val="00630E83"/>
    <w:rsid w:val="0063189E"/>
    <w:rsid w:val="00634F71"/>
    <w:rsid w:val="006355C6"/>
    <w:rsid w:val="00637143"/>
    <w:rsid w:val="006435C7"/>
    <w:rsid w:val="00643E86"/>
    <w:rsid w:val="00644F7C"/>
    <w:rsid w:val="006507E0"/>
    <w:rsid w:val="00650F08"/>
    <w:rsid w:val="00651315"/>
    <w:rsid w:val="00653356"/>
    <w:rsid w:val="00653E64"/>
    <w:rsid w:val="00656D86"/>
    <w:rsid w:val="00656E9B"/>
    <w:rsid w:val="006617D9"/>
    <w:rsid w:val="0066216E"/>
    <w:rsid w:val="00663AA1"/>
    <w:rsid w:val="006650A4"/>
    <w:rsid w:val="0066556E"/>
    <w:rsid w:val="00665AFC"/>
    <w:rsid w:val="0067264D"/>
    <w:rsid w:val="0067388F"/>
    <w:rsid w:val="00676B42"/>
    <w:rsid w:val="00677563"/>
    <w:rsid w:val="00685E4C"/>
    <w:rsid w:val="00686DFB"/>
    <w:rsid w:val="00696301"/>
    <w:rsid w:val="006A3D13"/>
    <w:rsid w:val="006A3E21"/>
    <w:rsid w:val="006A4C77"/>
    <w:rsid w:val="006A602A"/>
    <w:rsid w:val="006A7400"/>
    <w:rsid w:val="006B0709"/>
    <w:rsid w:val="006B2290"/>
    <w:rsid w:val="006B33EB"/>
    <w:rsid w:val="006B39D4"/>
    <w:rsid w:val="006B4317"/>
    <w:rsid w:val="006B4C10"/>
    <w:rsid w:val="006C2F22"/>
    <w:rsid w:val="006C3C84"/>
    <w:rsid w:val="006C4278"/>
    <w:rsid w:val="006C44F8"/>
    <w:rsid w:val="006C5CB1"/>
    <w:rsid w:val="006D08B3"/>
    <w:rsid w:val="006D199C"/>
    <w:rsid w:val="006D2D94"/>
    <w:rsid w:val="006D4D28"/>
    <w:rsid w:val="006D51FE"/>
    <w:rsid w:val="006E279C"/>
    <w:rsid w:val="006E647F"/>
    <w:rsid w:val="006E6733"/>
    <w:rsid w:val="006E69DF"/>
    <w:rsid w:val="006F151F"/>
    <w:rsid w:val="006F24AB"/>
    <w:rsid w:val="006F7537"/>
    <w:rsid w:val="00700243"/>
    <w:rsid w:val="007074D1"/>
    <w:rsid w:val="00707A59"/>
    <w:rsid w:val="00710C52"/>
    <w:rsid w:val="0071340C"/>
    <w:rsid w:val="007139C5"/>
    <w:rsid w:val="007141BD"/>
    <w:rsid w:val="00715A28"/>
    <w:rsid w:val="00717517"/>
    <w:rsid w:val="0072025F"/>
    <w:rsid w:val="007209C4"/>
    <w:rsid w:val="0072159B"/>
    <w:rsid w:val="0072374B"/>
    <w:rsid w:val="00725E37"/>
    <w:rsid w:val="00727285"/>
    <w:rsid w:val="007311BA"/>
    <w:rsid w:val="00732729"/>
    <w:rsid w:val="0073416D"/>
    <w:rsid w:val="00734FE5"/>
    <w:rsid w:val="007371C8"/>
    <w:rsid w:val="00737DFA"/>
    <w:rsid w:val="00742F04"/>
    <w:rsid w:val="00746C01"/>
    <w:rsid w:val="00747D13"/>
    <w:rsid w:val="007506B6"/>
    <w:rsid w:val="007519A4"/>
    <w:rsid w:val="00752250"/>
    <w:rsid w:val="00754F08"/>
    <w:rsid w:val="00756234"/>
    <w:rsid w:val="007619B3"/>
    <w:rsid w:val="00762936"/>
    <w:rsid w:val="00763141"/>
    <w:rsid w:val="0076484C"/>
    <w:rsid w:val="00765957"/>
    <w:rsid w:val="00765B1A"/>
    <w:rsid w:val="00765F5F"/>
    <w:rsid w:val="0077207B"/>
    <w:rsid w:val="00782D62"/>
    <w:rsid w:val="00783E2F"/>
    <w:rsid w:val="0078562C"/>
    <w:rsid w:val="0078787A"/>
    <w:rsid w:val="00790AAB"/>
    <w:rsid w:val="007941D8"/>
    <w:rsid w:val="007960B2"/>
    <w:rsid w:val="007B0E96"/>
    <w:rsid w:val="007B5347"/>
    <w:rsid w:val="007C3AFF"/>
    <w:rsid w:val="007C5305"/>
    <w:rsid w:val="007C5A6C"/>
    <w:rsid w:val="007D2686"/>
    <w:rsid w:val="007D5386"/>
    <w:rsid w:val="007D6CD1"/>
    <w:rsid w:val="007D6F05"/>
    <w:rsid w:val="007D74EF"/>
    <w:rsid w:val="007D7796"/>
    <w:rsid w:val="007E1CD7"/>
    <w:rsid w:val="007E2C01"/>
    <w:rsid w:val="007F0A33"/>
    <w:rsid w:val="007F1336"/>
    <w:rsid w:val="007F1802"/>
    <w:rsid w:val="007F2FD5"/>
    <w:rsid w:val="007F369A"/>
    <w:rsid w:val="007F37AB"/>
    <w:rsid w:val="007F3BD4"/>
    <w:rsid w:val="007F3EAE"/>
    <w:rsid w:val="007F62FE"/>
    <w:rsid w:val="007F64E4"/>
    <w:rsid w:val="007F7B9C"/>
    <w:rsid w:val="00801E74"/>
    <w:rsid w:val="00803DAC"/>
    <w:rsid w:val="008046EE"/>
    <w:rsid w:val="00804F2C"/>
    <w:rsid w:val="0080628C"/>
    <w:rsid w:val="00806F2B"/>
    <w:rsid w:val="00812434"/>
    <w:rsid w:val="00814801"/>
    <w:rsid w:val="008151B5"/>
    <w:rsid w:val="00816870"/>
    <w:rsid w:val="00830DDE"/>
    <w:rsid w:val="008337CE"/>
    <w:rsid w:val="00834717"/>
    <w:rsid w:val="0083547B"/>
    <w:rsid w:val="00837E70"/>
    <w:rsid w:val="00844887"/>
    <w:rsid w:val="008504F9"/>
    <w:rsid w:val="00850C90"/>
    <w:rsid w:val="00851FB0"/>
    <w:rsid w:val="00853C16"/>
    <w:rsid w:val="00854FD5"/>
    <w:rsid w:val="00860986"/>
    <w:rsid w:val="00862C08"/>
    <w:rsid w:val="00864949"/>
    <w:rsid w:val="00866082"/>
    <w:rsid w:val="008662D4"/>
    <w:rsid w:val="00866DF5"/>
    <w:rsid w:val="00867C68"/>
    <w:rsid w:val="00870886"/>
    <w:rsid w:val="00870E26"/>
    <w:rsid w:val="008711D7"/>
    <w:rsid w:val="00871962"/>
    <w:rsid w:val="00872A07"/>
    <w:rsid w:val="00875546"/>
    <w:rsid w:val="00877A3C"/>
    <w:rsid w:val="0089032E"/>
    <w:rsid w:val="00890ACE"/>
    <w:rsid w:val="008926E9"/>
    <w:rsid w:val="00893BFD"/>
    <w:rsid w:val="00894FB3"/>
    <w:rsid w:val="00895EEE"/>
    <w:rsid w:val="00896C19"/>
    <w:rsid w:val="008970D2"/>
    <w:rsid w:val="00897B46"/>
    <w:rsid w:val="008A04D0"/>
    <w:rsid w:val="008A1EC7"/>
    <w:rsid w:val="008A2758"/>
    <w:rsid w:val="008A2899"/>
    <w:rsid w:val="008A3B43"/>
    <w:rsid w:val="008A5E34"/>
    <w:rsid w:val="008A7A3F"/>
    <w:rsid w:val="008B01F9"/>
    <w:rsid w:val="008B07C1"/>
    <w:rsid w:val="008B31B4"/>
    <w:rsid w:val="008B3206"/>
    <w:rsid w:val="008B4661"/>
    <w:rsid w:val="008B6CF4"/>
    <w:rsid w:val="008C04AE"/>
    <w:rsid w:val="008C0C88"/>
    <w:rsid w:val="008C35BA"/>
    <w:rsid w:val="008C5731"/>
    <w:rsid w:val="008C5DFC"/>
    <w:rsid w:val="008C6E4E"/>
    <w:rsid w:val="008D28BE"/>
    <w:rsid w:val="008D35E2"/>
    <w:rsid w:val="008D3FCB"/>
    <w:rsid w:val="008D76B8"/>
    <w:rsid w:val="008D7C8C"/>
    <w:rsid w:val="008E1D8E"/>
    <w:rsid w:val="008E3527"/>
    <w:rsid w:val="008E44A9"/>
    <w:rsid w:val="008F10B3"/>
    <w:rsid w:val="008F118B"/>
    <w:rsid w:val="008F54D6"/>
    <w:rsid w:val="008F58CA"/>
    <w:rsid w:val="008F61D2"/>
    <w:rsid w:val="008F63C4"/>
    <w:rsid w:val="00900A24"/>
    <w:rsid w:val="00900E48"/>
    <w:rsid w:val="0090119B"/>
    <w:rsid w:val="00903992"/>
    <w:rsid w:val="00903CD9"/>
    <w:rsid w:val="00904D15"/>
    <w:rsid w:val="00906991"/>
    <w:rsid w:val="0090785B"/>
    <w:rsid w:val="009112F4"/>
    <w:rsid w:val="00911B28"/>
    <w:rsid w:val="00913BD8"/>
    <w:rsid w:val="00916698"/>
    <w:rsid w:val="00920BEE"/>
    <w:rsid w:val="009230B2"/>
    <w:rsid w:val="009246F3"/>
    <w:rsid w:val="00925215"/>
    <w:rsid w:val="009309FC"/>
    <w:rsid w:val="00931B31"/>
    <w:rsid w:val="00932B48"/>
    <w:rsid w:val="00936D05"/>
    <w:rsid w:val="00940333"/>
    <w:rsid w:val="009417C3"/>
    <w:rsid w:val="00946CDE"/>
    <w:rsid w:val="00950655"/>
    <w:rsid w:val="009515C9"/>
    <w:rsid w:val="009516B7"/>
    <w:rsid w:val="009529A8"/>
    <w:rsid w:val="0095361A"/>
    <w:rsid w:val="00954B5D"/>
    <w:rsid w:val="009559C6"/>
    <w:rsid w:val="00957773"/>
    <w:rsid w:val="009631E5"/>
    <w:rsid w:val="009640E4"/>
    <w:rsid w:val="00965218"/>
    <w:rsid w:val="0096618C"/>
    <w:rsid w:val="0096717F"/>
    <w:rsid w:val="00970C8A"/>
    <w:rsid w:val="00970FEF"/>
    <w:rsid w:val="00971CB5"/>
    <w:rsid w:val="009729C4"/>
    <w:rsid w:val="00973692"/>
    <w:rsid w:val="00982877"/>
    <w:rsid w:val="00991270"/>
    <w:rsid w:val="00993BFE"/>
    <w:rsid w:val="009941D3"/>
    <w:rsid w:val="009B046B"/>
    <w:rsid w:val="009B0E10"/>
    <w:rsid w:val="009B11DD"/>
    <w:rsid w:val="009B2487"/>
    <w:rsid w:val="009C0F02"/>
    <w:rsid w:val="009C3D7D"/>
    <w:rsid w:val="009C5F8D"/>
    <w:rsid w:val="009C626F"/>
    <w:rsid w:val="009C67D8"/>
    <w:rsid w:val="009C6F92"/>
    <w:rsid w:val="009D11EC"/>
    <w:rsid w:val="009D2179"/>
    <w:rsid w:val="009D2F8E"/>
    <w:rsid w:val="009D3754"/>
    <w:rsid w:val="009D3C94"/>
    <w:rsid w:val="009E0117"/>
    <w:rsid w:val="009E0512"/>
    <w:rsid w:val="009F15D5"/>
    <w:rsid w:val="009F2DC5"/>
    <w:rsid w:val="009F399B"/>
    <w:rsid w:val="009F3A14"/>
    <w:rsid w:val="009F3B95"/>
    <w:rsid w:val="009F44F0"/>
    <w:rsid w:val="009F5679"/>
    <w:rsid w:val="009F67CF"/>
    <w:rsid w:val="009F7604"/>
    <w:rsid w:val="00A019E1"/>
    <w:rsid w:val="00A02E5A"/>
    <w:rsid w:val="00A040E6"/>
    <w:rsid w:val="00A049E9"/>
    <w:rsid w:val="00A057B7"/>
    <w:rsid w:val="00A070C4"/>
    <w:rsid w:val="00A07BF0"/>
    <w:rsid w:val="00A10E51"/>
    <w:rsid w:val="00A1233E"/>
    <w:rsid w:val="00A12E71"/>
    <w:rsid w:val="00A12E7F"/>
    <w:rsid w:val="00A13DB4"/>
    <w:rsid w:val="00A1413D"/>
    <w:rsid w:val="00A159E9"/>
    <w:rsid w:val="00A15F8D"/>
    <w:rsid w:val="00A16E91"/>
    <w:rsid w:val="00A172CE"/>
    <w:rsid w:val="00A174B0"/>
    <w:rsid w:val="00A20B70"/>
    <w:rsid w:val="00A20F6E"/>
    <w:rsid w:val="00A25205"/>
    <w:rsid w:val="00A25E5B"/>
    <w:rsid w:val="00A274B3"/>
    <w:rsid w:val="00A32BAC"/>
    <w:rsid w:val="00A36BFA"/>
    <w:rsid w:val="00A37563"/>
    <w:rsid w:val="00A40478"/>
    <w:rsid w:val="00A4058B"/>
    <w:rsid w:val="00A4344A"/>
    <w:rsid w:val="00A50B91"/>
    <w:rsid w:val="00A51CED"/>
    <w:rsid w:val="00A52CD8"/>
    <w:rsid w:val="00A55895"/>
    <w:rsid w:val="00A57BE2"/>
    <w:rsid w:val="00A60CC2"/>
    <w:rsid w:val="00A6328B"/>
    <w:rsid w:val="00A634E5"/>
    <w:rsid w:val="00A63CD9"/>
    <w:rsid w:val="00A652E5"/>
    <w:rsid w:val="00A656DC"/>
    <w:rsid w:val="00A658E2"/>
    <w:rsid w:val="00A6676B"/>
    <w:rsid w:val="00A744B9"/>
    <w:rsid w:val="00A77375"/>
    <w:rsid w:val="00A80A8E"/>
    <w:rsid w:val="00A80D54"/>
    <w:rsid w:val="00A81E94"/>
    <w:rsid w:val="00A86251"/>
    <w:rsid w:val="00A90589"/>
    <w:rsid w:val="00A90C97"/>
    <w:rsid w:val="00A91918"/>
    <w:rsid w:val="00A93143"/>
    <w:rsid w:val="00A93B73"/>
    <w:rsid w:val="00A93C12"/>
    <w:rsid w:val="00A961DA"/>
    <w:rsid w:val="00A97303"/>
    <w:rsid w:val="00AA02A8"/>
    <w:rsid w:val="00AA0B02"/>
    <w:rsid w:val="00AA31DB"/>
    <w:rsid w:val="00AA78F0"/>
    <w:rsid w:val="00AA7DA0"/>
    <w:rsid w:val="00AB1822"/>
    <w:rsid w:val="00AB26D4"/>
    <w:rsid w:val="00AB2B90"/>
    <w:rsid w:val="00AB7E53"/>
    <w:rsid w:val="00AC2AB6"/>
    <w:rsid w:val="00AC3C18"/>
    <w:rsid w:val="00AC72C3"/>
    <w:rsid w:val="00AC792A"/>
    <w:rsid w:val="00AC7A88"/>
    <w:rsid w:val="00AD1A96"/>
    <w:rsid w:val="00AE0E75"/>
    <w:rsid w:val="00AE2B31"/>
    <w:rsid w:val="00AE3022"/>
    <w:rsid w:val="00AE39B1"/>
    <w:rsid w:val="00AF1164"/>
    <w:rsid w:val="00AF1B19"/>
    <w:rsid w:val="00AF22F8"/>
    <w:rsid w:val="00AF33F2"/>
    <w:rsid w:val="00AF3AC6"/>
    <w:rsid w:val="00AF3C02"/>
    <w:rsid w:val="00AF5767"/>
    <w:rsid w:val="00AF7A0A"/>
    <w:rsid w:val="00B00279"/>
    <w:rsid w:val="00B03434"/>
    <w:rsid w:val="00B0518C"/>
    <w:rsid w:val="00B07793"/>
    <w:rsid w:val="00B12324"/>
    <w:rsid w:val="00B12A8C"/>
    <w:rsid w:val="00B13F9F"/>
    <w:rsid w:val="00B13FDA"/>
    <w:rsid w:val="00B152A6"/>
    <w:rsid w:val="00B16870"/>
    <w:rsid w:val="00B20FD2"/>
    <w:rsid w:val="00B21268"/>
    <w:rsid w:val="00B22D0E"/>
    <w:rsid w:val="00B22F8F"/>
    <w:rsid w:val="00B26BAB"/>
    <w:rsid w:val="00B304FC"/>
    <w:rsid w:val="00B30D67"/>
    <w:rsid w:val="00B316C4"/>
    <w:rsid w:val="00B321D0"/>
    <w:rsid w:val="00B33045"/>
    <w:rsid w:val="00B3494D"/>
    <w:rsid w:val="00B36102"/>
    <w:rsid w:val="00B37D27"/>
    <w:rsid w:val="00B41660"/>
    <w:rsid w:val="00B41CA2"/>
    <w:rsid w:val="00B41EBB"/>
    <w:rsid w:val="00B4318E"/>
    <w:rsid w:val="00B44A77"/>
    <w:rsid w:val="00B44CDD"/>
    <w:rsid w:val="00B50DD8"/>
    <w:rsid w:val="00B50EB9"/>
    <w:rsid w:val="00B5110A"/>
    <w:rsid w:val="00B52721"/>
    <w:rsid w:val="00B52D0D"/>
    <w:rsid w:val="00B549EC"/>
    <w:rsid w:val="00B553CF"/>
    <w:rsid w:val="00B56980"/>
    <w:rsid w:val="00B646BA"/>
    <w:rsid w:val="00B6487D"/>
    <w:rsid w:val="00B662A8"/>
    <w:rsid w:val="00B66CBD"/>
    <w:rsid w:val="00B674B5"/>
    <w:rsid w:val="00B702C9"/>
    <w:rsid w:val="00B71B99"/>
    <w:rsid w:val="00B727EE"/>
    <w:rsid w:val="00B73C40"/>
    <w:rsid w:val="00B74BE5"/>
    <w:rsid w:val="00B77292"/>
    <w:rsid w:val="00B8429B"/>
    <w:rsid w:val="00B84856"/>
    <w:rsid w:val="00B85C47"/>
    <w:rsid w:val="00B90236"/>
    <w:rsid w:val="00B97CA4"/>
    <w:rsid w:val="00BA0363"/>
    <w:rsid w:val="00BA21FF"/>
    <w:rsid w:val="00BA2D2B"/>
    <w:rsid w:val="00BA3768"/>
    <w:rsid w:val="00BA76D9"/>
    <w:rsid w:val="00BA7B98"/>
    <w:rsid w:val="00BB0451"/>
    <w:rsid w:val="00BB0DF2"/>
    <w:rsid w:val="00BB11DF"/>
    <w:rsid w:val="00BB5F7A"/>
    <w:rsid w:val="00BC6982"/>
    <w:rsid w:val="00BD0B43"/>
    <w:rsid w:val="00BD196A"/>
    <w:rsid w:val="00BD72E8"/>
    <w:rsid w:val="00BD7B1D"/>
    <w:rsid w:val="00BE09C6"/>
    <w:rsid w:val="00BE2101"/>
    <w:rsid w:val="00BE3D76"/>
    <w:rsid w:val="00BE436B"/>
    <w:rsid w:val="00BE4FFD"/>
    <w:rsid w:val="00BE618F"/>
    <w:rsid w:val="00BE672B"/>
    <w:rsid w:val="00BE68C9"/>
    <w:rsid w:val="00BF1EF9"/>
    <w:rsid w:val="00BF2502"/>
    <w:rsid w:val="00BF3F70"/>
    <w:rsid w:val="00BF49F5"/>
    <w:rsid w:val="00BF4CBC"/>
    <w:rsid w:val="00BF537F"/>
    <w:rsid w:val="00BF64B6"/>
    <w:rsid w:val="00C038DC"/>
    <w:rsid w:val="00C0489B"/>
    <w:rsid w:val="00C048CB"/>
    <w:rsid w:val="00C0697A"/>
    <w:rsid w:val="00C06E57"/>
    <w:rsid w:val="00C10F5A"/>
    <w:rsid w:val="00C111CE"/>
    <w:rsid w:val="00C2240A"/>
    <w:rsid w:val="00C2708B"/>
    <w:rsid w:val="00C32F0A"/>
    <w:rsid w:val="00C36AA2"/>
    <w:rsid w:val="00C4087C"/>
    <w:rsid w:val="00C43B4B"/>
    <w:rsid w:val="00C4755B"/>
    <w:rsid w:val="00C47CAE"/>
    <w:rsid w:val="00C516D3"/>
    <w:rsid w:val="00C53F4A"/>
    <w:rsid w:val="00C54B89"/>
    <w:rsid w:val="00C55D6D"/>
    <w:rsid w:val="00C571F3"/>
    <w:rsid w:val="00C57B93"/>
    <w:rsid w:val="00C60A85"/>
    <w:rsid w:val="00C65191"/>
    <w:rsid w:val="00C65A1B"/>
    <w:rsid w:val="00C7064F"/>
    <w:rsid w:val="00C720D8"/>
    <w:rsid w:val="00C73646"/>
    <w:rsid w:val="00C74A60"/>
    <w:rsid w:val="00C77751"/>
    <w:rsid w:val="00C82B55"/>
    <w:rsid w:val="00C83EE3"/>
    <w:rsid w:val="00C8425B"/>
    <w:rsid w:val="00C84B53"/>
    <w:rsid w:val="00C85738"/>
    <w:rsid w:val="00C85EBD"/>
    <w:rsid w:val="00C952DF"/>
    <w:rsid w:val="00C958B0"/>
    <w:rsid w:val="00CA02FF"/>
    <w:rsid w:val="00CA493F"/>
    <w:rsid w:val="00CA55E6"/>
    <w:rsid w:val="00CA605A"/>
    <w:rsid w:val="00CB017F"/>
    <w:rsid w:val="00CB3976"/>
    <w:rsid w:val="00CB4403"/>
    <w:rsid w:val="00CB6080"/>
    <w:rsid w:val="00CC1FF1"/>
    <w:rsid w:val="00CC7D74"/>
    <w:rsid w:val="00CD4042"/>
    <w:rsid w:val="00CD513F"/>
    <w:rsid w:val="00CD5A4D"/>
    <w:rsid w:val="00CE0F6A"/>
    <w:rsid w:val="00CE13B3"/>
    <w:rsid w:val="00CE2D5E"/>
    <w:rsid w:val="00CE3674"/>
    <w:rsid w:val="00CE4F0B"/>
    <w:rsid w:val="00CE5066"/>
    <w:rsid w:val="00CE5160"/>
    <w:rsid w:val="00CE5396"/>
    <w:rsid w:val="00CE59D5"/>
    <w:rsid w:val="00CE631E"/>
    <w:rsid w:val="00CE664E"/>
    <w:rsid w:val="00CE702F"/>
    <w:rsid w:val="00CF150D"/>
    <w:rsid w:val="00CF5499"/>
    <w:rsid w:val="00D00501"/>
    <w:rsid w:val="00D0205A"/>
    <w:rsid w:val="00D03675"/>
    <w:rsid w:val="00D03755"/>
    <w:rsid w:val="00D04015"/>
    <w:rsid w:val="00D04D61"/>
    <w:rsid w:val="00D05B21"/>
    <w:rsid w:val="00D10BB0"/>
    <w:rsid w:val="00D118B8"/>
    <w:rsid w:val="00D11B53"/>
    <w:rsid w:val="00D1202F"/>
    <w:rsid w:val="00D13A79"/>
    <w:rsid w:val="00D13AE7"/>
    <w:rsid w:val="00D1571E"/>
    <w:rsid w:val="00D1615E"/>
    <w:rsid w:val="00D173E5"/>
    <w:rsid w:val="00D17730"/>
    <w:rsid w:val="00D24152"/>
    <w:rsid w:val="00D24F6A"/>
    <w:rsid w:val="00D31A0B"/>
    <w:rsid w:val="00D33D79"/>
    <w:rsid w:val="00D35EEF"/>
    <w:rsid w:val="00D37865"/>
    <w:rsid w:val="00D40782"/>
    <w:rsid w:val="00D4086D"/>
    <w:rsid w:val="00D40C8C"/>
    <w:rsid w:val="00D40CA2"/>
    <w:rsid w:val="00D42618"/>
    <w:rsid w:val="00D44FCE"/>
    <w:rsid w:val="00D46CA3"/>
    <w:rsid w:val="00D47802"/>
    <w:rsid w:val="00D47992"/>
    <w:rsid w:val="00D47AB3"/>
    <w:rsid w:val="00D5124B"/>
    <w:rsid w:val="00D5175C"/>
    <w:rsid w:val="00D53F6F"/>
    <w:rsid w:val="00D54846"/>
    <w:rsid w:val="00D56ADF"/>
    <w:rsid w:val="00D61DB9"/>
    <w:rsid w:val="00D61E29"/>
    <w:rsid w:val="00D626B3"/>
    <w:rsid w:val="00D63802"/>
    <w:rsid w:val="00D658FC"/>
    <w:rsid w:val="00D6592E"/>
    <w:rsid w:val="00D671B7"/>
    <w:rsid w:val="00D73694"/>
    <w:rsid w:val="00D773BF"/>
    <w:rsid w:val="00D7780F"/>
    <w:rsid w:val="00D778B4"/>
    <w:rsid w:val="00D80EF3"/>
    <w:rsid w:val="00D82E61"/>
    <w:rsid w:val="00D83B41"/>
    <w:rsid w:val="00D85386"/>
    <w:rsid w:val="00D86431"/>
    <w:rsid w:val="00D8719F"/>
    <w:rsid w:val="00D87E38"/>
    <w:rsid w:val="00D90007"/>
    <w:rsid w:val="00D9066F"/>
    <w:rsid w:val="00D92925"/>
    <w:rsid w:val="00D93DFE"/>
    <w:rsid w:val="00D94689"/>
    <w:rsid w:val="00DA3160"/>
    <w:rsid w:val="00DA3B07"/>
    <w:rsid w:val="00DA42EB"/>
    <w:rsid w:val="00DA616E"/>
    <w:rsid w:val="00DB16B7"/>
    <w:rsid w:val="00DB3376"/>
    <w:rsid w:val="00DB49EE"/>
    <w:rsid w:val="00DB5769"/>
    <w:rsid w:val="00DB5B7B"/>
    <w:rsid w:val="00DC136E"/>
    <w:rsid w:val="00DC65E1"/>
    <w:rsid w:val="00DD4F36"/>
    <w:rsid w:val="00DD5AF6"/>
    <w:rsid w:val="00DD67DE"/>
    <w:rsid w:val="00DE043C"/>
    <w:rsid w:val="00DE308E"/>
    <w:rsid w:val="00DE7BB6"/>
    <w:rsid w:val="00DF0BDC"/>
    <w:rsid w:val="00DF1597"/>
    <w:rsid w:val="00DF3B31"/>
    <w:rsid w:val="00DF4974"/>
    <w:rsid w:val="00DF5E97"/>
    <w:rsid w:val="00DF6A57"/>
    <w:rsid w:val="00E031A4"/>
    <w:rsid w:val="00E03F57"/>
    <w:rsid w:val="00E05529"/>
    <w:rsid w:val="00E05B7D"/>
    <w:rsid w:val="00E05F1B"/>
    <w:rsid w:val="00E06805"/>
    <w:rsid w:val="00E0690F"/>
    <w:rsid w:val="00E1016D"/>
    <w:rsid w:val="00E13A39"/>
    <w:rsid w:val="00E13A75"/>
    <w:rsid w:val="00E14A8E"/>
    <w:rsid w:val="00E209C5"/>
    <w:rsid w:val="00E21360"/>
    <w:rsid w:val="00E21F66"/>
    <w:rsid w:val="00E231D7"/>
    <w:rsid w:val="00E23F10"/>
    <w:rsid w:val="00E242FD"/>
    <w:rsid w:val="00E2553A"/>
    <w:rsid w:val="00E25FD4"/>
    <w:rsid w:val="00E270DA"/>
    <w:rsid w:val="00E279A2"/>
    <w:rsid w:val="00E31CAF"/>
    <w:rsid w:val="00E37B0B"/>
    <w:rsid w:val="00E43E26"/>
    <w:rsid w:val="00E465FD"/>
    <w:rsid w:val="00E46FD3"/>
    <w:rsid w:val="00E4738A"/>
    <w:rsid w:val="00E477B9"/>
    <w:rsid w:val="00E50CA0"/>
    <w:rsid w:val="00E50DF8"/>
    <w:rsid w:val="00E52C8A"/>
    <w:rsid w:val="00E53108"/>
    <w:rsid w:val="00E53734"/>
    <w:rsid w:val="00E53BD1"/>
    <w:rsid w:val="00E55F5B"/>
    <w:rsid w:val="00E63E83"/>
    <w:rsid w:val="00E65C77"/>
    <w:rsid w:val="00E66CF8"/>
    <w:rsid w:val="00E6784C"/>
    <w:rsid w:val="00E738E2"/>
    <w:rsid w:val="00E73D1C"/>
    <w:rsid w:val="00E76D13"/>
    <w:rsid w:val="00E80335"/>
    <w:rsid w:val="00E83FA1"/>
    <w:rsid w:val="00E87680"/>
    <w:rsid w:val="00E90DF6"/>
    <w:rsid w:val="00E91439"/>
    <w:rsid w:val="00E9149A"/>
    <w:rsid w:val="00E92A4B"/>
    <w:rsid w:val="00E934B3"/>
    <w:rsid w:val="00E93E91"/>
    <w:rsid w:val="00E94ED1"/>
    <w:rsid w:val="00E959A9"/>
    <w:rsid w:val="00E96279"/>
    <w:rsid w:val="00EA287A"/>
    <w:rsid w:val="00EA2BF3"/>
    <w:rsid w:val="00EA2E8E"/>
    <w:rsid w:val="00EA2F0E"/>
    <w:rsid w:val="00EA526D"/>
    <w:rsid w:val="00EA6A29"/>
    <w:rsid w:val="00EA7AE7"/>
    <w:rsid w:val="00EA7D81"/>
    <w:rsid w:val="00EB54A7"/>
    <w:rsid w:val="00EB69A7"/>
    <w:rsid w:val="00EC1010"/>
    <w:rsid w:val="00EC30C6"/>
    <w:rsid w:val="00EC5E6E"/>
    <w:rsid w:val="00ED0803"/>
    <w:rsid w:val="00ED2B03"/>
    <w:rsid w:val="00ED2EDA"/>
    <w:rsid w:val="00ED3999"/>
    <w:rsid w:val="00ED766E"/>
    <w:rsid w:val="00EE6CDC"/>
    <w:rsid w:val="00EF1A23"/>
    <w:rsid w:val="00EF2465"/>
    <w:rsid w:val="00F00BA4"/>
    <w:rsid w:val="00F047B1"/>
    <w:rsid w:val="00F04C65"/>
    <w:rsid w:val="00F053B4"/>
    <w:rsid w:val="00F058AC"/>
    <w:rsid w:val="00F06332"/>
    <w:rsid w:val="00F06FC6"/>
    <w:rsid w:val="00F0744A"/>
    <w:rsid w:val="00F10669"/>
    <w:rsid w:val="00F12111"/>
    <w:rsid w:val="00F12403"/>
    <w:rsid w:val="00F1340E"/>
    <w:rsid w:val="00F13809"/>
    <w:rsid w:val="00F150DD"/>
    <w:rsid w:val="00F152CB"/>
    <w:rsid w:val="00F16C4C"/>
    <w:rsid w:val="00F20603"/>
    <w:rsid w:val="00F213C8"/>
    <w:rsid w:val="00F21432"/>
    <w:rsid w:val="00F24BBB"/>
    <w:rsid w:val="00F25316"/>
    <w:rsid w:val="00F3227F"/>
    <w:rsid w:val="00F3234A"/>
    <w:rsid w:val="00F34530"/>
    <w:rsid w:val="00F34BC7"/>
    <w:rsid w:val="00F35A2B"/>
    <w:rsid w:val="00F366EB"/>
    <w:rsid w:val="00F37381"/>
    <w:rsid w:val="00F37D32"/>
    <w:rsid w:val="00F42016"/>
    <w:rsid w:val="00F42CBB"/>
    <w:rsid w:val="00F42CC8"/>
    <w:rsid w:val="00F46ED2"/>
    <w:rsid w:val="00F500B2"/>
    <w:rsid w:val="00F5081F"/>
    <w:rsid w:val="00F509B2"/>
    <w:rsid w:val="00F52ED3"/>
    <w:rsid w:val="00F55F0C"/>
    <w:rsid w:val="00F576B0"/>
    <w:rsid w:val="00F57CB2"/>
    <w:rsid w:val="00F61C86"/>
    <w:rsid w:val="00F64EA8"/>
    <w:rsid w:val="00F652D2"/>
    <w:rsid w:val="00F65539"/>
    <w:rsid w:val="00F65B2B"/>
    <w:rsid w:val="00F667B1"/>
    <w:rsid w:val="00F66A27"/>
    <w:rsid w:val="00F702EA"/>
    <w:rsid w:val="00F7058F"/>
    <w:rsid w:val="00F72B66"/>
    <w:rsid w:val="00F73F97"/>
    <w:rsid w:val="00F740FC"/>
    <w:rsid w:val="00F76554"/>
    <w:rsid w:val="00F76608"/>
    <w:rsid w:val="00F82811"/>
    <w:rsid w:val="00F844A1"/>
    <w:rsid w:val="00F84A3F"/>
    <w:rsid w:val="00F862C0"/>
    <w:rsid w:val="00F87D2C"/>
    <w:rsid w:val="00F9089F"/>
    <w:rsid w:val="00F90C62"/>
    <w:rsid w:val="00F92BDD"/>
    <w:rsid w:val="00F92E10"/>
    <w:rsid w:val="00F940F8"/>
    <w:rsid w:val="00F948C1"/>
    <w:rsid w:val="00F97C56"/>
    <w:rsid w:val="00FA098F"/>
    <w:rsid w:val="00FA0CD5"/>
    <w:rsid w:val="00FA1C5D"/>
    <w:rsid w:val="00FA224C"/>
    <w:rsid w:val="00FA2BE9"/>
    <w:rsid w:val="00FA5283"/>
    <w:rsid w:val="00FA59EB"/>
    <w:rsid w:val="00FB2125"/>
    <w:rsid w:val="00FB35B1"/>
    <w:rsid w:val="00FB42BA"/>
    <w:rsid w:val="00FB5D27"/>
    <w:rsid w:val="00FB6C0E"/>
    <w:rsid w:val="00FC362E"/>
    <w:rsid w:val="00FC4441"/>
    <w:rsid w:val="00FC4857"/>
    <w:rsid w:val="00FC60EA"/>
    <w:rsid w:val="00FC6277"/>
    <w:rsid w:val="00FC644D"/>
    <w:rsid w:val="00FD16A3"/>
    <w:rsid w:val="00FD281A"/>
    <w:rsid w:val="00FD2B99"/>
    <w:rsid w:val="00FD4615"/>
    <w:rsid w:val="00FD67DA"/>
    <w:rsid w:val="00FE053F"/>
    <w:rsid w:val="00FE1DB3"/>
    <w:rsid w:val="00FE2392"/>
    <w:rsid w:val="00FE3D34"/>
    <w:rsid w:val="00FE439B"/>
    <w:rsid w:val="00FE5BC6"/>
    <w:rsid w:val="00FE67EC"/>
    <w:rsid w:val="00FE6B7F"/>
    <w:rsid w:val="00FE7211"/>
    <w:rsid w:val="00FF007F"/>
    <w:rsid w:val="00FF1DA9"/>
    <w:rsid w:val="00FF2360"/>
    <w:rsid w:val="00FF23B6"/>
    <w:rsid w:val="00FF5D3D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0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3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E4F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1E7117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rsid w:val="00213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134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2AB6"/>
    <w:pPr>
      <w:ind w:left="720"/>
      <w:contextualSpacing/>
    </w:pPr>
  </w:style>
  <w:style w:type="paragraph" w:customStyle="1" w:styleId="Default">
    <w:name w:val="Default"/>
    <w:rsid w:val="003D6A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chart" Target="charts/chart42.xml"/><Relationship Id="rId50" Type="http://schemas.openxmlformats.org/officeDocument/2006/relationships/chart" Target="charts/chart45.xml"/><Relationship Id="rId55" Type="http://schemas.openxmlformats.org/officeDocument/2006/relationships/chart" Target="charts/chart50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chart" Target="charts/chart4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54" Type="http://schemas.openxmlformats.org/officeDocument/2006/relationships/chart" Target="charts/chart49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3" Type="http://schemas.openxmlformats.org/officeDocument/2006/relationships/chart" Target="charts/chart48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49" Type="http://schemas.openxmlformats.org/officeDocument/2006/relationships/chart" Target="charts/chart44.xml"/><Relationship Id="rId57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52" Type="http://schemas.openxmlformats.org/officeDocument/2006/relationships/chart" Target="charts/chart47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48" Type="http://schemas.openxmlformats.org/officeDocument/2006/relationships/chart" Target="charts/chart43.xml"/><Relationship Id="rId56" Type="http://schemas.openxmlformats.org/officeDocument/2006/relationships/chart" Target="charts/chart51.xml"/><Relationship Id="rId8" Type="http://schemas.openxmlformats.org/officeDocument/2006/relationships/chart" Target="charts/chart3.xml"/><Relationship Id="rId51" Type="http://schemas.openxmlformats.org/officeDocument/2006/relationships/chart" Target="charts/chart46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Количества опрошенных респондентов по половому признаку</a:t>
            </a:r>
          </a:p>
        </c:rich>
      </c:tx>
      <c:layout>
        <c:manualLayout>
          <c:xMode val="edge"/>
          <c:yMode val="edge"/>
          <c:x val="0.1745487583282859"/>
          <c:y val="4.2780748663101623E-2"/>
        </c:manualLayout>
      </c:layout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респондентов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202</c:v>
                </c:pt>
                <c:pt idx="1">
                  <c:v>253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1E-4C1F-8FDF-526B3670F6B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Мужчин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87</c:v>
                </c:pt>
                <c:pt idx="1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1E-4C1F-8FDF-526B3670F6B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Женщин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115</c:v>
                </c:pt>
                <c:pt idx="1">
                  <c:v>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1E-4C1F-8FDF-526B3670F6BE}"/>
            </c:ext>
          </c:extLst>
        </c:ser>
        <c:gapWidth val="75"/>
        <c:shape val="cylinder"/>
        <c:axId val="94291456"/>
        <c:axId val="94292992"/>
        <c:axId val="0"/>
      </c:bar3DChart>
      <c:catAx>
        <c:axId val="942914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4292992"/>
        <c:crosses val="autoZero"/>
        <c:auto val="1"/>
        <c:lblAlgn val="ctr"/>
        <c:lblOffset val="100"/>
        <c:tickLblSkip val="1"/>
        <c:tickMarkSkip val="1"/>
      </c:catAx>
      <c:valAx>
        <c:axId val="942929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08">
            <a:noFill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291456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услуг психолого-педагогического сопровождения детей с ограниченными возможностями здоровья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66.8</c:v>
                </c:pt>
                <c:pt idx="1">
                  <c:v>71.8</c:v>
                </c:pt>
                <c:pt idx="2">
                  <c:v>58.9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65.599999999999994</c:v>
                </c:pt>
                <c:pt idx="1">
                  <c:v>68.8</c:v>
                </c:pt>
                <c:pt idx="2">
                  <c:v>56.9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28.2</c:v>
                </c:pt>
                <c:pt idx="1">
                  <c:v>22.3</c:v>
                </c:pt>
                <c:pt idx="2">
                  <c:v>32.200000000000003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26.1</c:v>
                </c:pt>
                <c:pt idx="1">
                  <c:v>22.5</c:v>
                </c:pt>
                <c:pt idx="2">
                  <c:v>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5.9</c:v>
                </c:pt>
                <c:pt idx="2">
                  <c:v>8.9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8.7000000000000011</c:v>
                </c:pt>
                <c:pt idx="2">
                  <c:v>9.1</c:v>
                </c:pt>
              </c:numCache>
            </c:numRef>
          </c:val>
        </c:ser>
        <c:dLbls>
          <c:showVal val="1"/>
        </c:dLbls>
        <c:axId val="121885824"/>
        <c:axId val="121887360"/>
      </c:barChart>
      <c:catAx>
        <c:axId val="121885824"/>
        <c:scaling>
          <c:orientation val="minMax"/>
        </c:scaling>
        <c:axPos val="b"/>
        <c:numFmt formatCode="General" sourceLinked="0"/>
        <c:majorTickMark val="none"/>
        <c:tickLblPos val="nextTo"/>
        <c:crossAx val="121887360"/>
        <c:crosses val="autoZero"/>
        <c:auto val="1"/>
        <c:lblAlgn val="ctr"/>
        <c:lblOffset val="100"/>
      </c:catAx>
      <c:valAx>
        <c:axId val="12188736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188582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социальных услуг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62.4</c:v>
                </c:pt>
                <c:pt idx="1">
                  <c:v>59.9</c:v>
                </c:pt>
                <c:pt idx="2">
                  <c:v>64.900000000000006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63.2</c:v>
                </c:pt>
                <c:pt idx="1">
                  <c:v>70</c:v>
                </c:pt>
                <c:pt idx="2">
                  <c:v>64.8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32.200000000000003</c:v>
                </c:pt>
                <c:pt idx="1">
                  <c:v>31.2</c:v>
                </c:pt>
                <c:pt idx="2">
                  <c:v>25.7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29.6</c:v>
                </c:pt>
                <c:pt idx="1">
                  <c:v>20.6</c:v>
                </c:pt>
                <c:pt idx="2">
                  <c:v>26.1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8.9</c:v>
                </c:pt>
                <c:pt idx="2">
                  <c:v>9.4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7.1</c:v>
                </c:pt>
                <c:pt idx="1">
                  <c:v>9.5</c:v>
                </c:pt>
                <c:pt idx="2">
                  <c:v>9.1</c:v>
                </c:pt>
              </c:numCache>
            </c:numRef>
          </c:val>
        </c:ser>
        <c:dLbls>
          <c:showVal val="1"/>
        </c:dLbls>
        <c:axId val="121988608"/>
        <c:axId val="121990144"/>
      </c:barChart>
      <c:catAx>
        <c:axId val="121988608"/>
        <c:scaling>
          <c:orientation val="minMax"/>
        </c:scaling>
        <c:axPos val="b"/>
        <c:numFmt formatCode="General" sourceLinked="0"/>
        <c:majorTickMark val="none"/>
        <c:tickLblPos val="nextTo"/>
        <c:crossAx val="121990144"/>
        <c:crosses val="autoZero"/>
        <c:auto val="1"/>
        <c:lblAlgn val="ctr"/>
        <c:lblOffset val="100"/>
      </c:catAx>
      <c:valAx>
        <c:axId val="1219901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198860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ретуальных услуг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61.4</c:v>
                </c:pt>
                <c:pt idx="1">
                  <c:v>69.3</c:v>
                </c:pt>
                <c:pt idx="2">
                  <c:v>64.400000000000006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59.7</c:v>
                </c:pt>
                <c:pt idx="1">
                  <c:v>67.599999999999994</c:v>
                </c:pt>
                <c:pt idx="2">
                  <c:v>61.3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33.700000000000003</c:v>
                </c:pt>
                <c:pt idx="1">
                  <c:v>24.8</c:v>
                </c:pt>
                <c:pt idx="2">
                  <c:v>29.7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33.6</c:v>
                </c:pt>
                <c:pt idx="1">
                  <c:v>25.3</c:v>
                </c:pt>
                <c:pt idx="2">
                  <c:v>31.2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5.9</c:v>
                </c:pt>
                <c:pt idx="2">
                  <c:v>5.9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6.7</c:v>
                </c:pt>
                <c:pt idx="1">
                  <c:v>7.1</c:v>
                </c:pt>
                <c:pt idx="2">
                  <c:v>7.5</c:v>
                </c:pt>
              </c:numCache>
            </c:numRef>
          </c:val>
        </c:ser>
        <c:dLbls>
          <c:showVal val="1"/>
        </c:dLbls>
        <c:axId val="122153216"/>
        <c:axId val="122179584"/>
      </c:barChart>
      <c:catAx>
        <c:axId val="122153216"/>
        <c:scaling>
          <c:orientation val="minMax"/>
        </c:scaling>
        <c:axPos val="b"/>
        <c:numFmt formatCode="General" sourceLinked="0"/>
        <c:majorTickMark val="none"/>
        <c:tickLblPos val="nextTo"/>
        <c:crossAx val="122179584"/>
        <c:crosses val="autoZero"/>
        <c:auto val="1"/>
        <c:lblAlgn val="ctr"/>
        <c:lblOffset val="100"/>
      </c:catAx>
      <c:valAx>
        <c:axId val="1221795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15321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теплоснобжения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70.3</c:v>
                </c:pt>
                <c:pt idx="2">
                  <c:v>62.9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50.6</c:v>
                </c:pt>
                <c:pt idx="1">
                  <c:v>68.8</c:v>
                </c:pt>
                <c:pt idx="2">
                  <c:v>64.400000000000006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41.6</c:v>
                </c:pt>
                <c:pt idx="1">
                  <c:v>24.8</c:v>
                </c:pt>
                <c:pt idx="2">
                  <c:v>29.7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41.5</c:v>
                </c:pt>
                <c:pt idx="1">
                  <c:v>24.1</c:v>
                </c:pt>
                <c:pt idx="2">
                  <c:v>28.5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7.4</c:v>
                </c:pt>
                <c:pt idx="1">
                  <c:v>5</c:v>
                </c:pt>
                <c:pt idx="2">
                  <c:v>7.4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7.9</c:v>
                </c:pt>
                <c:pt idx="1">
                  <c:v>7.1</c:v>
                </c:pt>
                <c:pt idx="2">
                  <c:v>7.4</c:v>
                </c:pt>
              </c:numCache>
            </c:numRef>
          </c:val>
        </c:ser>
        <c:dLbls>
          <c:showVal val="1"/>
        </c:dLbls>
        <c:axId val="122223616"/>
        <c:axId val="122241792"/>
      </c:barChart>
      <c:catAx>
        <c:axId val="122223616"/>
        <c:scaling>
          <c:orientation val="minMax"/>
        </c:scaling>
        <c:axPos val="b"/>
        <c:numFmt formatCode="General" sourceLinked="0"/>
        <c:majorTickMark val="none"/>
        <c:tickLblPos val="nextTo"/>
        <c:crossAx val="122241792"/>
        <c:crosses val="autoZero"/>
        <c:auto val="1"/>
        <c:lblAlgn val="ctr"/>
        <c:lblOffset val="100"/>
      </c:catAx>
      <c:valAx>
        <c:axId val="1222417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22361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услуг по сбору и транспортеровке твердых коммунальных отходов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62.9</c:v>
                </c:pt>
                <c:pt idx="1">
                  <c:v>44.6</c:v>
                </c:pt>
                <c:pt idx="2">
                  <c:v>46.5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61.7</c:v>
                </c:pt>
                <c:pt idx="1">
                  <c:v>44.3</c:v>
                </c:pt>
                <c:pt idx="2">
                  <c:v>47.4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31.7</c:v>
                </c:pt>
                <c:pt idx="1">
                  <c:v>48.5</c:v>
                </c:pt>
                <c:pt idx="2">
                  <c:v>46.5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30.8</c:v>
                </c:pt>
                <c:pt idx="1">
                  <c:v>47.8</c:v>
                </c:pt>
                <c:pt idx="2">
                  <c:v>45.1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6.9</c:v>
                </c:pt>
                <c:pt idx="2">
                  <c:v>6.9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не удовлетворен222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7.5</c:v>
                </c:pt>
                <c:pt idx="1">
                  <c:v>7.9</c:v>
                </c:pt>
                <c:pt idx="2">
                  <c:v>7.5</c:v>
                </c:pt>
              </c:numCache>
            </c:numRef>
          </c:val>
        </c:ser>
        <c:dLbls>
          <c:showVal val="1"/>
        </c:dLbls>
        <c:axId val="122351616"/>
        <c:axId val="122353152"/>
      </c:barChart>
      <c:catAx>
        <c:axId val="122351616"/>
        <c:scaling>
          <c:orientation val="minMax"/>
        </c:scaling>
        <c:axPos val="b"/>
        <c:numFmt formatCode="General" sourceLinked="0"/>
        <c:majorTickMark val="none"/>
        <c:tickLblPos val="nextTo"/>
        <c:crossAx val="122353152"/>
        <c:crosses val="autoZero"/>
        <c:auto val="1"/>
        <c:lblAlgn val="ctr"/>
        <c:lblOffset val="100"/>
      </c:catAx>
      <c:valAx>
        <c:axId val="12235315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35161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услуг по благоустройству городской среды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65.8</c:v>
                </c:pt>
                <c:pt idx="1">
                  <c:v>59.4</c:v>
                </c:pt>
                <c:pt idx="2">
                  <c:v>67.3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67.599999999999994</c:v>
                </c:pt>
                <c:pt idx="1">
                  <c:v>62.5</c:v>
                </c:pt>
                <c:pt idx="2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29.2</c:v>
                </c:pt>
                <c:pt idx="1">
                  <c:v>33.700000000000003</c:v>
                </c:pt>
                <c:pt idx="2">
                  <c:v>25.7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25.7</c:v>
                </c:pt>
                <c:pt idx="1">
                  <c:v>30.8</c:v>
                </c:pt>
                <c:pt idx="2">
                  <c:v>24.9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6.9</c:v>
                </c:pt>
                <c:pt idx="2">
                  <c:v>6.9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6.7</c:v>
                </c:pt>
                <c:pt idx="1">
                  <c:v>6.7</c:v>
                </c:pt>
                <c:pt idx="2">
                  <c:v>7.1</c:v>
                </c:pt>
              </c:numCache>
            </c:numRef>
          </c:val>
        </c:ser>
        <c:dLbls>
          <c:showVal val="1"/>
        </c:dLbls>
        <c:axId val="122425728"/>
        <c:axId val="122427264"/>
      </c:barChart>
      <c:catAx>
        <c:axId val="122425728"/>
        <c:scaling>
          <c:orientation val="minMax"/>
        </c:scaling>
        <c:axPos val="b"/>
        <c:numFmt formatCode="General" sourceLinked="0"/>
        <c:majorTickMark val="none"/>
        <c:tickLblPos val="nextTo"/>
        <c:crossAx val="122427264"/>
        <c:crosses val="autoZero"/>
        <c:auto val="1"/>
        <c:lblAlgn val="ctr"/>
        <c:lblOffset val="100"/>
      </c:catAx>
      <c:valAx>
        <c:axId val="12242726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42572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выполнения работ по содержанию и текущему ремонту в многоквартирном доме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53</c:v>
                </c:pt>
                <c:pt idx="2">
                  <c:v>62.9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48.2</c:v>
                </c:pt>
                <c:pt idx="1">
                  <c:v>54.9</c:v>
                </c:pt>
                <c:pt idx="2">
                  <c:v>62.1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49</c:v>
                </c:pt>
                <c:pt idx="1">
                  <c:v>41.1</c:v>
                </c:pt>
                <c:pt idx="2">
                  <c:v>31.2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44.7</c:v>
                </c:pt>
                <c:pt idx="1">
                  <c:v>37.200000000000003</c:v>
                </c:pt>
                <c:pt idx="2">
                  <c:v>30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5.9</c:v>
                </c:pt>
                <c:pt idx="2">
                  <c:v>5.9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7.1</c:v>
                </c:pt>
                <c:pt idx="1">
                  <c:v>7.9</c:v>
                </c:pt>
                <c:pt idx="2">
                  <c:v>7.9</c:v>
                </c:pt>
              </c:numCache>
            </c:numRef>
          </c:val>
        </c:ser>
        <c:dLbls>
          <c:showVal val="1"/>
        </c:dLbls>
        <c:axId val="122516224"/>
        <c:axId val="122517760"/>
      </c:barChart>
      <c:catAx>
        <c:axId val="122516224"/>
        <c:scaling>
          <c:orientation val="minMax"/>
        </c:scaling>
        <c:axPos val="b"/>
        <c:numFmt formatCode="General" sourceLinked="0"/>
        <c:majorTickMark val="none"/>
        <c:tickLblPos val="nextTo"/>
        <c:crossAx val="122517760"/>
        <c:crosses val="autoZero"/>
        <c:auto val="1"/>
        <c:lblAlgn val="ctr"/>
        <c:lblOffset val="100"/>
      </c:catAx>
      <c:valAx>
        <c:axId val="12251776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51622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 рынке</a:t>
            </a:r>
            <a:r>
              <a:rPr lang="ru-RU" sz="900" baseline="0"/>
              <a:t> поставки сжиженного газа в баллонах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61.4</c:v>
                </c:pt>
                <c:pt idx="1">
                  <c:v>77.2</c:v>
                </c:pt>
                <c:pt idx="2">
                  <c:v>67.8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61.7</c:v>
                </c:pt>
                <c:pt idx="1">
                  <c:v>75.099999999999994</c:v>
                </c:pt>
                <c:pt idx="2">
                  <c:v>65.2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33.700000000000003</c:v>
                </c:pt>
                <c:pt idx="1">
                  <c:v>13.4</c:v>
                </c:pt>
                <c:pt idx="2">
                  <c:v>25.2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30.8</c:v>
                </c:pt>
                <c:pt idx="1">
                  <c:v>14.6</c:v>
                </c:pt>
                <c:pt idx="2">
                  <c:v>26.5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9.4</c:v>
                </c:pt>
                <c:pt idx="2">
                  <c:v>5.9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7.5</c:v>
                </c:pt>
                <c:pt idx="1">
                  <c:v>10.3</c:v>
                </c:pt>
                <c:pt idx="2">
                  <c:v>8.3000000000000007</c:v>
                </c:pt>
              </c:numCache>
            </c:numRef>
          </c:val>
        </c:ser>
        <c:dLbls>
          <c:showVal val="1"/>
        </c:dLbls>
        <c:axId val="122659968"/>
        <c:axId val="122661504"/>
      </c:barChart>
      <c:catAx>
        <c:axId val="122659968"/>
        <c:scaling>
          <c:orientation val="minMax"/>
        </c:scaling>
        <c:axPos val="b"/>
        <c:numFmt formatCode="General" sourceLinked="0"/>
        <c:majorTickMark val="none"/>
        <c:tickLblPos val="nextTo"/>
        <c:crossAx val="122661504"/>
        <c:crosses val="autoZero"/>
        <c:auto val="1"/>
        <c:lblAlgn val="ctr"/>
        <c:lblOffset val="100"/>
      </c:catAx>
      <c:valAx>
        <c:axId val="1226615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65996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купли -продажи электрической энергии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57.9</c:v>
                </c:pt>
                <c:pt idx="1">
                  <c:v>63.9</c:v>
                </c:pt>
                <c:pt idx="2">
                  <c:v>66.8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59.7</c:v>
                </c:pt>
                <c:pt idx="1">
                  <c:v>66.8</c:v>
                </c:pt>
                <c:pt idx="2">
                  <c:v>63.6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35.6</c:v>
                </c:pt>
                <c:pt idx="1">
                  <c:v>28.2</c:v>
                </c:pt>
                <c:pt idx="2">
                  <c:v>24.8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32.4</c:v>
                </c:pt>
                <c:pt idx="1">
                  <c:v>25.3</c:v>
                </c:pt>
                <c:pt idx="2">
                  <c:v>27.3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6.4</c:v>
                </c:pt>
                <c:pt idx="1">
                  <c:v>7.9</c:v>
                </c:pt>
                <c:pt idx="2">
                  <c:v>8.4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7.9</c:v>
                </c:pt>
                <c:pt idx="1">
                  <c:v>7.9</c:v>
                </c:pt>
                <c:pt idx="2">
                  <c:v>9.1</c:v>
                </c:pt>
              </c:numCache>
            </c:numRef>
          </c:val>
        </c:ser>
        <c:dLbls>
          <c:showVal val="1"/>
        </c:dLbls>
        <c:axId val="122828288"/>
        <c:axId val="122829824"/>
      </c:barChart>
      <c:catAx>
        <c:axId val="122828288"/>
        <c:scaling>
          <c:orientation val="minMax"/>
        </c:scaling>
        <c:axPos val="b"/>
        <c:numFmt formatCode="General" sourceLinked="0"/>
        <c:majorTickMark val="none"/>
        <c:tickLblPos val="nextTo"/>
        <c:crossAx val="122829824"/>
        <c:crosses val="autoZero"/>
        <c:auto val="1"/>
        <c:lblAlgn val="ctr"/>
        <c:lblOffset val="100"/>
      </c:catAx>
      <c:valAx>
        <c:axId val="1228298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82828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производства электоинергии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61.9</c:v>
                </c:pt>
                <c:pt idx="1">
                  <c:v>64.400000000000006</c:v>
                </c:pt>
                <c:pt idx="2">
                  <c:v>70.3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60.1</c:v>
                </c:pt>
                <c:pt idx="1">
                  <c:v>63.2</c:v>
                </c:pt>
                <c:pt idx="2">
                  <c:v>67.2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32.700000000000003</c:v>
                </c:pt>
                <c:pt idx="1">
                  <c:v>27.7</c:v>
                </c:pt>
                <c:pt idx="2">
                  <c:v>21.8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32.4</c:v>
                </c:pt>
                <c:pt idx="1">
                  <c:v>27.3</c:v>
                </c:pt>
                <c:pt idx="2">
                  <c:v>23.3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7.9</c:v>
                </c:pt>
                <c:pt idx="2">
                  <c:v>7.9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7.5</c:v>
                </c:pt>
                <c:pt idx="1">
                  <c:v>9.5</c:v>
                </c:pt>
                <c:pt idx="2">
                  <c:v>9.5</c:v>
                </c:pt>
              </c:numCache>
            </c:numRef>
          </c:val>
        </c:ser>
        <c:dLbls>
          <c:showVal val="1"/>
        </c:dLbls>
        <c:axId val="122898304"/>
        <c:axId val="122899840"/>
      </c:barChart>
      <c:catAx>
        <c:axId val="122898304"/>
        <c:scaling>
          <c:orientation val="minMax"/>
        </c:scaling>
        <c:axPos val="b"/>
        <c:numFmt formatCode="General" sourceLinked="0"/>
        <c:majorTickMark val="none"/>
        <c:tickLblPos val="nextTo"/>
        <c:crossAx val="122899840"/>
        <c:crosses val="autoZero"/>
        <c:auto val="1"/>
        <c:lblAlgn val="ctr"/>
        <c:lblOffset val="100"/>
      </c:catAx>
      <c:valAx>
        <c:axId val="1228998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89830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Количество опрошенных </a:t>
            </a:r>
            <a:r>
              <a:rPr lang="ru-RU" sz="1100" baseline="0"/>
              <a:t> респондентов </a:t>
            </a:r>
            <a:r>
              <a:rPr lang="ru-RU" sz="1100"/>
              <a:t>с учетом их сферы деятельности,% </a:t>
            </a:r>
          </a:p>
        </c:rich>
      </c:tx>
      <c:layout>
        <c:manualLayout>
          <c:xMode val="edge"/>
          <c:yMode val="edge"/>
          <c:x val="0.17310238060060296"/>
          <c:y val="4.0334858726760306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Предприниматель</c:v>
                </c:pt>
                <c:pt idx="1">
                  <c:v>Самозанятый</c:v>
                </c:pt>
                <c:pt idx="2">
                  <c:v>Пенсионер</c:v>
                </c:pt>
                <c:pt idx="3">
                  <c:v>Домохозяйка</c:v>
                </c:pt>
                <c:pt idx="4">
                  <c:v>Учащийся/студент</c:v>
                </c:pt>
                <c:pt idx="5">
                  <c:v>Безработный</c:v>
                </c:pt>
                <c:pt idx="6">
                  <c:v>Работающий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3.0000000000000002E-2</c:v>
                </c:pt>
                <c:pt idx="1">
                  <c:v>3.500000000000001E-2</c:v>
                </c:pt>
                <c:pt idx="2">
                  <c:v>0.13300000000000001</c:v>
                </c:pt>
                <c:pt idx="3">
                  <c:v>5.9000000000000274E-2</c:v>
                </c:pt>
                <c:pt idx="4">
                  <c:v>9.9000000000000046E-2</c:v>
                </c:pt>
                <c:pt idx="5">
                  <c:v>0.12400000000000012</c:v>
                </c:pt>
                <c:pt idx="6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Предприниматель</c:v>
                </c:pt>
                <c:pt idx="1">
                  <c:v>Самозанятый</c:v>
                </c:pt>
                <c:pt idx="2">
                  <c:v>Пенсионер</c:v>
                </c:pt>
                <c:pt idx="3">
                  <c:v>Домохозяйка</c:v>
                </c:pt>
                <c:pt idx="4">
                  <c:v>Учащийся/студент</c:v>
                </c:pt>
                <c:pt idx="5">
                  <c:v>Безработный</c:v>
                </c:pt>
                <c:pt idx="6">
                  <c:v>Работающий</c:v>
                </c:pt>
              </c:strCache>
            </c:strRef>
          </c:cat>
          <c:val>
            <c:numRef>
              <c:f>Лист1!$C$2:$C$8</c:f>
              <c:numCache>
                <c:formatCode>0.0%</c:formatCode>
                <c:ptCount val="7"/>
                <c:pt idx="0">
                  <c:v>3.5999999999999997E-2</c:v>
                </c:pt>
                <c:pt idx="1">
                  <c:v>3.2000000000000042E-2</c:v>
                </c:pt>
                <c:pt idx="2">
                  <c:v>0.11899999999999998</c:v>
                </c:pt>
                <c:pt idx="3">
                  <c:v>6.7000000000000004E-2</c:v>
                </c:pt>
                <c:pt idx="4">
                  <c:v>0.111</c:v>
                </c:pt>
                <c:pt idx="5">
                  <c:v>0.115</c:v>
                </c:pt>
                <c:pt idx="6">
                  <c:v>0.52200000000000002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dLbls>
          <c:showVal val="1"/>
        </c:dLbls>
        <c:overlap val="-25"/>
        <c:axId val="119297152"/>
        <c:axId val="119298688"/>
      </c:barChart>
      <c:catAx>
        <c:axId val="119297152"/>
        <c:scaling>
          <c:orientation val="minMax"/>
        </c:scaling>
        <c:axPos val="l"/>
        <c:numFmt formatCode="General" sourceLinked="0"/>
        <c:majorTickMark val="none"/>
        <c:tickLblPos val="nextTo"/>
        <c:crossAx val="119298688"/>
        <c:crosses val="autoZero"/>
        <c:auto val="1"/>
        <c:lblAlgn val="ctr"/>
        <c:lblOffset val="100"/>
      </c:catAx>
      <c:valAx>
        <c:axId val="119298688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11929715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оказания услуг по перевозке пассажиров автомобильным транспортом по муниципальным маршрутам регулярных перевозок в сравнении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68.3</c:v>
                </c:pt>
                <c:pt idx="1">
                  <c:v>61.4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61.7</c:v>
                </c:pt>
                <c:pt idx="1">
                  <c:v>79.099999999999994</c:v>
                </c:pt>
                <c:pt idx="2">
                  <c:v>86.6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26.2</c:v>
                </c:pt>
                <c:pt idx="1">
                  <c:v>31.2</c:v>
                </c:pt>
                <c:pt idx="2">
                  <c:v>42.6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32.4</c:v>
                </c:pt>
                <c:pt idx="1">
                  <c:v>13.8</c:v>
                </c:pt>
                <c:pt idx="2">
                  <c:v>9.5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7.4</c:v>
                </c:pt>
                <c:pt idx="2">
                  <c:v>2.5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5.9</c:v>
                </c:pt>
                <c:pt idx="1">
                  <c:v>7.1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axId val="125114624"/>
        <c:axId val="125145088"/>
      </c:barChart>
      <c:catAx>
        <c:axId val="125114624"/>
        <c:scaling>
          <c:orientation val="minMax"/>
        </c:scaling>
        <c:axPos val="b"/>
        <c:numFmt formatCode="General" sourceLinked="0"/>
        <c:majorTickMark val="none"/>
        <c:tickLblPos val="nextTo"/>
        <c:crossAx val="125145088"/>
        <c:crosses val="autoZero"/>
        <c:auto val="1"/>
        <c:lblAlgn val="ctr"/>
        <c:lblOffset val="100"/>
      </c:catAx>
      <c:valAx>
        <c:axId val="1251450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511462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оказания услуг по перевозке пассажиров автомобильным транспортом по межмуниципальным маршрутам регулярных перевозок в сравне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57.9</c:v>
                </c:pt>
                <c:pt idx="1">
                  <c:v>64.900000000000006</c:v>
                </c:pt>
                <c:pt idx="2">
                  <c:v>75.2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56.1</c:v>
                </c:pt>
                <c:pt idx="1">
                  <c:v>78.7</c:v>
                </c:pt>
                <c:pt idx="2">
                  <c:v>85.8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37.6</c:v>
                </c:pt>
                <c:pt idx="1">
                  <c:v>26.7</c:v>
                </c:pt>
                <c:pt idx="2">
                  <c:v>21.8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37.9</c:v>
                </c:pt>
                <c:pt idx="1">
                  <c:v>11.5</c:v>
                </c:pt>
                <c:pt idx="2">
                  <c:v>9.1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4.5</c:v>
                </c:pt>
                <c:pt idx="1">
                  <c:v>8.4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5.9</c:v>
                </c:pt>
                <c:pt idx="1">
                  <c:v>9.9</c:v>
                </c:pt>
                <c:pt idx="2">
                  <c:v>5.0999999999999996</c:v>
                </c:pt>
              </c:numCache>
            </c:numRef>
          </c:val>
        </c:ser>
        <c:dLbls>
          <c:showVal val="1"/>
        </c:dLbls>
        <c:axId val="125360768"/>
        <c:axId val="125440384"/>
      </c:barChart>
      <c:catAx>
        <c:axId val="125360768"/>
        <c:scaling>
          <c:orientation val="minMax"/>
        </c:scaling>
        <c:axPos val="b"/>
        <c:numFmt formatCode="General" sourceLinked="0"/>
        <c:majorTickMark val="none"/>
        <c:tickLblPos val="nextTo"/>
        <c:crossAx val="125440384"/>
        <c:crosses val="autoZero"/>
        <c:auto val="1"/>
        <c:lblAlgn val="ctr"/>
        <c:lblOffset val="100"/>
      </c:catAx>
      <c:valAx>
        <c:axId val="1254403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536076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оказания услуг по перевозке пассажиров и багажа легковым такси на территории субъекта Российской Федерации в сравнении с про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36.6</c:v>
                </c:pt>
                <c:pt idx="1">
                  <c:v>63.4</c:v>
                </c:pt>
                <c:pt idx="2">
                  <c:v>73.3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39.9</c:v>
                </c:pt>
                <c:pt idx="1">
                  <c:v>60.1</c:v>
                </c:pt>
                <c:pt idx="2">
                  <c:v>64.8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56.4</c:v>
                </c:pt>
                <c:pt idx="1">
                  <c:v>31.7</c:v>
                </c:pt>
                <c:pt idx="2">
                  <c:v>21.8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53</c:v>
                </c:pt>
                <c:pt idx="1">
                  <c:v>33.6</c:v>
                </c:pt>
                <c:pt idx="2">
                  <c:v>28.9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6.9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7.1</c:v>
                </c:pt>
                <c:pt idx="1">
                  <c:v>6.3</c:v>
                </c:pt>
                <c:pt idx="2">
                  <c:v>6.3</c:v>
                </c:pt>
              </c:numCache>
            </c:numRef>
          </c:val>
        </c:ser>
        <c:dLbls>
          <c:showVal val="1"/>
        </c:dLbls>
        <c:axId val="125602816"/>
        <c:axId val="125641472"/>
      </c:barChart>
      <c:catAx>
        <c:axId val="125602816"/>
        <c:scaling>
          <c:orientation val="minMax"/>
        </c:scaling>
        <c:axPos val="b"/>
        <c:numFmt formatCode="General" sourceLinked="0"/>
        <c:majorTickMark val="none"/>
        <c:tickLblPos val="nextTo"/>
        <c:crossAx val="125641472"/>
        <c:crosses val="autoZero"/>
        <c:auto val="1"/>
        <c:lblAlgn val="ctr"/>
        <c:lblOffset val="100"/>
      </c:catAx>
      <c:valAx>
        <c:axId val="1256414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560281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ремонта автотранспортных средств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69.8</c:v>
                </c:pt>
                <c:pt idx="1">
                  <c:v>66.8</c:v>
                </c:pt>
                <c:pt idx="2">
                  <c:v>74.3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64.400000000000006</c:v>
                </c:pt>
                <c:pt idx="1">
                  <c:v>62.5</c:v>
                </c:pt>
                <c:pt idx="2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24.8</c:v>
                </c:pt>
                <c:pt idx="1">
                  <c:v>25.7</c:v>
                </c:pt>
                <c:pt idx="2">
                  <c:v>21.8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27.3</c:v>
                </c:pt>
                <c:pt idx="1">
                  <c:v>28.5</c:v>
                </c:pt>
                <c:pt idx="2">
                  <c:v>24.5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7.4</c:v>
                </c:pt>
                <c:pt idx="2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9.1</c:v>
                </c:pt>
                <c:pt idx="2">
                  <c:v>7.5</c:v>
                </c:pt>
              </c:numCache>
            </c:numRef>
          </c:val>
        </c:ser>
        <c:dLbls>
          <c:showVal val="1"/>
        </c:dLbls>
        <c:axId val="125820288"/>
        <c:axId val="130299008"/>
      </c:barChart>
      <c:catAx>
        <c:axId val="125820288"/>
        <c:scaling>
          <c:orientation val="minMax"/>
        </c:scaling>
        <c:axPos val="b"/>
        <c:numFmt formatCode="General" sourceLinked="0"/>
        <c:majorTickMark val="none"/>
        <c:tickLblPos val="nextTo"/>
        <c:crossAx val="130299008"/>
        <c:crosses val="autoZero"/>
        <c:auto val="1"/>
        <c:lblAlgn val="ctr"/>
        <c:lblOffset val="100"/>
      </c:catAx>
      <c:valAx>
        <c:axId val="13029900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582028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услуг связи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59.4</c:v>
                </c:pt>
                <c:pt idx="1">
                  <c:v>71.8</c:v>
                </c:pt>
                <c:pt idx="2">
                  <c:v>68.8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56.1</c:v>
                </c:pt>
                <c:pt idx="1">
                  <c:v>71.900000000000006</c:v>
                </c:pt>
                <c:pt idx="2">
                  <c:v>66.8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33.200000000000003</c:v>
                </c:pt>
                <c:pt idx="1">
                  <c:v>20.8</c:v>
                </c:pt>
                <c:pt idx="2">
                  <c:v>27.7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37.200000000000003</c:v>
                </c:pt>
                <c:pt idx="1">
                  <c:v>20.9</c:v>
                </c:pt>
                <c:pt idx="2">
                  <c:v>29.2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7.4</c:v>
                </c:pt>
                <c:pt idx="1">
                  <c:v>7.4</c:v>
                </c:pt>
                <c:pt idx="2">
                  <c:v>3.5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6.7</c:v>
                </c:pt>
                <c:pt idx="1">
                  <c:v>7.1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axId val="130797568"/>
        <c:axId val="130799104"/>
      </c:barChart>
      <c:catAx>
        <c:axId val="130797568"/>
        <c:scaling>
          <c:orientation val="minMax"/>
        </c:scaling>
        <c:axPos val="b"/>
        <c:numFmt formatCode="General" sourceLinked="0"/>
        <c:majorTickMark val="none"/>
        <c:tickLblPos val="nextTo"/>
        <c:crossAx val="130799104"/>
        <c:crosses val="autoZero"/>
        <c:auto val="1"/>
        <c:lblAlgn val="ctr"/>
        <c:lblOffset val="100"/>
      </c:catAx>
      <c:valAx>
        <c:axId val="1307991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079756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жилищного строительства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44.1</c:v>
                </c:pt>
                <c:pt idx="1">
                  <c:v>71.8</c:v>
                </c:pt>
                <c:pt idx="2">
                  <c:v>57.9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45.1</c:v>
                </c:pt>
                <c:pt idx="1">
                  <c:v>66.400000000000006</c:v>
                </c:pt>
                <c:pt idx="2">
                  <c:v>57.7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</c:v>
                </c:pt>
                <c:pt idx="1">
                  <c:v>22.3</c:v>
                </c:pt>
                <c:pt idx="2">
                  <c:v>36.1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47</c:v>
                </c:pt>
                <c:pt idx="1">
                  <c:v>24.9</c:v>
                </c:pt>
                <c:pt idx="2">
                  <c:v>35.200000000000003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5.9</c:v>
                </c:pt>
                <c:pt idx="2">
                  <c:v>5.9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7.9</c:v>
                </c:pt>
                <c:pt idx="1">
                  <c:v>8.7000000000000011</c:v>
                </c:pt>
                <c:pt idx="2">
                  <c:v>7.1</c:v>
                </c:pt>
              </c:numCache>
            </c:numRef>
          </c:val>
        </c:ser>
        <c:dLbls>
          <c:showVal val="1"/>
        </c:dLbls>
        <c:axId val="130867968"/>
        <c:axId val="130869504"/>
      </c:barChart>
      <c:catAx>
        <c:axId val="130867968"/>
        <c:scaling>
          <c:orientation val="minMax"/>
        </c:scaling>
        <c:axPos val="b"/>
        <c:numFmt formatCode="General" sourceLinked="0"/>
        <c:majorTickMark val="none"/>
        <c:tickLblPos val="nextTo"/>
        <c:crossAx val="130869504"/>
        <c:crosses val="autoZero"/>
        <c:auto val="1"/>
        <c:lblAlgn val="ctr"/>
        <c:lblOffset val="100"/>
      </c:catAx>
      <c:valAx>
        <c:axId val="1308695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086796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капитального строительства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71.8</c:v>
                </c:pt>
                <c:pt idx="2">
                  <c:v>74.8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48.6</c:v>
                </c:pt>
                <c:pt idx="1">
                  <c:v>67.2</c:v>
                </c:pt>
                <c:pt idx="2">
                  <c:v>69.2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45</c:v>
                </c:pt>
                <c:pt idx="1">
                  <c:v>17.3</c:v>
                </c:pt>
                <c:pt idx="2">
                  <c:v>19.8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43.1</c:v>
                </c:pt>
                <c:pt idx="1">
                  <c:v>21.7</c:v>
                </c:pt>
                <c:pt idx="2">
                  <c:v>22.9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</c:v>
                </c:pt>
                <c:pt idx="1">
                  <c:v>10.9</c:v>
                </c:pt>
                <c:pt idx="2">
                  <c:v>5.4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11.1</c:v>
                </c:pt>
                <c:pt idx="2">
                  <c:v>7.9</c:v>
                </c:pt>
              </c:numCache>
            </c:numRef>
          </c:val>
        </c:ser>
        <c:dLbls>
          <c:showVal val="1"/>
        </c:dLbls>
        <c:axId val="131044864"/>
        <c:axId val="131046400"/>
      </c:barChart>
      <c:catAx>
        <c:axId val="131044864"/>
        <c:scaling>
          <c:orientation val="minMax"/>
        </c:scaling>
        <c:axPos val="b"/>
        <c:numFmt formatCode="General" sourceLinked="0"/>
        <c:majorTickMark val="none"/>
        <c:tickLblPos val="nextTo"/>
        <c:crossAx val="131046400"/>
        <c:crosses val="autoZero"/>
        <c:auto val="1"/>
        <c:lblAlgn val="ctr"/>
        <c:lblOffset val="100"/>
      </c:catAx>
      <c:valAx>
        <c:axId val="1310464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104486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дорожной деятельности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67.8</c:v>
                </c:pt>
                <c:pt idx="1">
                  <c:v>53</c:v>
                </c:pt>
                <c:pt idx="2">
                  <c:v>75.7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50.6</c:v>
                </c:pt>
                <c:pt idx="2">
                  <c:v>69.599999999999994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26.7</c:v>
                </c:pt>
                <c:pt idx="1">
                  <c:v>38.6</c:v>
                </c:pt>
                <c:pt idx="2">
                  <c:v>18.8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28.5</c:v>
                </c:pt>
                <c:pt idx="1">
                  <c:v>39.5</c:v>
                </c:pt>
                <c:pt idx="2">
                  <c:v>22.5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8.4</c:v>
                </c:pt>
                <c:pt idx="2">
                  <c:v>5.4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7.5</c:v>
                </c:pt>
                <c:pt idx="1">
                  <c:v>9.9</c:v>
                </c:pt>
                <c:pt idx="2">
                  <c:v>7.9</c:v>
                </c:pt>
              </c:numCache>
            </c:numRef>
          </c:val>
        </c:ser>
        <c:dLbls>
          <c:showVal val="1"/>
        </c:dLbls>
        <c:axId val="131712896"/>
        <c:axId val="131714432"/>
      </c:barChart>
      <c:catAx>
        <c:axId val="131712896"/>
        <c:scaling>
          <c:orientation val="minMax"/>
        </c:scaling>
        <c:axPos val="b"/>
        <c:numFmt formatCode="General" sourceLinked="0"/>
        <c:majorTickMark val="none"/>
        <c:tickLblPos val="nextTo"/>
        <c:crossAx val="131714432"/>
        <c:crosses val="autoZero"/>
        <c:auto val="1"/>
        <c:lblAlgn val="ctr"/>
        <c:lblOffset val="100"/>
      </c:catAx>
      <c:valAx>
        <c:axId val="1317144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171289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архитектурно-строительного проектирования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69.3</c:v>
                </c:pt>
                <c:pt idx="1">
                  <c:v>74.8</c:v>
                </c:pt>
                <c:pt idx="2">
                  <c:v>75.7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66.400000000000006</c:v>
                </c:pt>
                <c:pt idx="1">
                  <c:v>70.8</c:v>
                </c:pt>
                <c:pt idx="2">
                  <c:v>70.400000000000006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23.8</c:v>
                </c:pt>
                <c:pt idx="1">
                  <c:v>17.8</c:v>
                </c:pt>
                <c:pt idx="2">
                  <c:v>19.3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25.3</c:v>
                </c:pt>
                <c:pt idx="1">
                  <c:v>19.8</c:v>
                </c:pt>
                <c:pt idx="2">
                  <c:v>21.7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6.9</c:v>
                </c:pt>
                <c:pt idx="1">
                  <c:v>7.4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9.5</c:v>
                </c:pt>
                <c:pt idx="2">
                  <c:v>7.9</c:v>
                </c:pt>
              </c:numCache>
            </c:numRef>
          </c:val>
        </c:ser>
        <c:dLbls>
          <c:showVal val="1"/>
        </c:dLbls>
        <c:axId val="131816064"/>
        <c:axId val="131830144"/>
      </c:barChart>
      <c:catAx>
        <c:axId val="131816064"/>
        <c:scaling>
          <c:orientation val="minMax"/>
        </c:scaling>
        <c:axPos val="b"/>
        <c:numFmt formatCode="General" sourceLinked="0"/>
        <c:majorTickMark val="none"/>
        <c:tickLblPos val="nextTo"/>
        <c:crossAx val="131830144"/>
        <c:crosses val="autoZero"/>
        <c:auto val="1"/>
        <c:lblAlgn val="ctr"/>
        <c:lblOffset val="100"/>
      </c:catAx>
      <c:valAx>
        <c:axId val="1318301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181606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кадастровых и землеустроительных работ 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71.8</c:v>
                </c:pt>
                <c:pt idx="1">
                  <c:v>69.3</c:v>
                </c:pt>
                <c:pt idx="2">
                  <c:v>75.2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66.400000000000006</c:v>
                </c:pt>
                <c:pt idx="1">
                  <c:v>66.8</c:v>
                </c:pt>
                <c:pt idx="2">
                  <c:v>69.599999999999994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22.3</c:v>
                </c:pt>
                <c:pt idx="1">
                  <c:v>24.8</c:v>
                </c:pt>
                <c:pt idx="2">
                  <c:v>20.8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25.7</c:v>
                </c:pt>
                <c:pt idx="1">
                  <c:v>24.9</c:v>
                </c:pt>
                <c:pt idx="2">
                  <c:v>24.5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5.9</c:v>
                </c:pt>
                <c:pt idx="1">
                  <c:v>5.9</c:v>
                </c:pt>
                <c:pt idx="2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7.9</c:v>
                </c:pt>
                <c:pt idx="1">
                  <c:v>8.3000000000000007</c:v>
                </c:pt>
                <c:pt idx="2">
                  <c:v>5.9</c:v>
                </c:pt>
              </c:numCache>
            </c:numRef>
          </c:val>
        </c:ser>
        <c:dLbls>
          <c:showVal val="1"/>
        </c:dLbls>
        <c:axId val="132348928"/>
        <c:axId val="132363008"/>
      </c:barChart>
      <c:catAx>
        <c:axId val="132348928"/>
        <c:scaling>
          <c:orientation val="minMax"/>
        </c:scaling>
        <c:axPos val="b"/>
        <c:numFmt formatCode="General" sourceLinked="0"/>
        <c:majorTickMark val="none"/>
        <c:tickLblPos val="nextTo"/>
        <c:crossAx val="132363008"/>
        <c:crosses val="autoZero"/>
        <c:auto val="1"/>
        <c:lblAlgn val="ctr"/>
        <c:lblOffset val="100"/>
      </c:catAx>
      <c:valAx>
        <c:axId val="13236300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234892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дошкольного образования в сравнении с прошлым годом, %</a:t>
            </a:r>
          </a:p>
          <a:p>
            <a:pPr>
              <a:defRPr sz="900"/>
            </a:pPr>
            <a:endParaRPr lang="ru-RU" sz="90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68.3</c:v>
                </c:pt>
                <c:pt idx="1">
                  <c:v>83.2</c:v>
                </c:pt>
                <c:pt idx="2">
                  <c:v>77.7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71.5</c:v>
                </c:pt>
                <c:pt idx="1">
                  <c:v>82.6</c:v>
                </c:pt>
                <c:pt idx="2">
                  <c:v>75.900000000000006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26.7</c:v>
                </c:pt>
                <c:pt idx="1">
                  <c:v>10.9</c:v>
                </c:pt>
                <c:pt idx="2">
                  <c:v>17.3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22.9</c:v>
                </c:pt>
                <c:pt idx="1">
                  <c:v>11.1</c:v>
                </c:pt>
                <c:pt idx="2">
                  <c:v>18.2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5.9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5.5</c:v>
                </c:pt>
                <c:pt idx="1">
                  <c:v>6.3</c:v>
                </c:pt>
                <c:pt idx="2">
                  <c:v>5.9</c:v>
                </c:pt>
              </c:numCache>
            </c:numRef>
          </c:val>
        </c:ser>
        <c:dLbls>
          <c:showVal val="1"/>
        </c:dLbls>
        <c:axId val="119358976"/>
        <c:axId val="119360512"/>
      </c:barChart>
      <c:catAx>
        <c:axId val="119358976"/>
        <c:scaling>
          <c:orientation val="minMax"/>
        </c:scaling>
        <c:axPos val="b"/>
        <c:numFmt formatCode="General" sourceLinked="0"/>
        <c:majorTickMark val="none"/>
        <c:tickLblPos val="nextTo"/>
        <c:crossAx val="119360512"/>
        <c:crosses val="autoZero"/>
        <c:auto val="1"/>
        <c:lblAlgn val="ctr"/>
        <c:lblOffset val="100"/>
      </c:catAx>
      <c:valAx>
        <c:axId val="11936051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935897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реализации сельскохозяйственной продукции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61.4</c:v>
                </c:pt>
                <c:pt idx="1">
                  <c:v>67.3</c:v>
                </c:pt>
                <c:pt idx="2">
                  <c:v>76.7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60.9</c:v>
                </c:pt>
                <c:pt idx="1">
                  <c:v>67.2</c:v>
                </c:pt>
                <c:pt idx="2">
                  <c:v>74.7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34.700000000000003</c:v>
                </c:pt>
                <c:pt idx="1">
                  <c:v>26.7</c:v>
                </c:pt>
                <c:pt idx="2">
                  <c:v>19.3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33.200000000000003</c:v>
                </c:pt>
                <c:pt idx="1">
                  <c:v>26.1</c:v>
                </c:pt>
                <c:pt idx="2">
                  <c:v>20.2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5.9</c:v>
                </c:pt>
                <c:pt idx="2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5.9</c:v>
                </c:pt>
                <c:pt idx="1">
                  <c:v>6.7</c:v>
                </c:pt>
                <c:pt idx="2">
                  <c:v>5.0999999999999996</c:v>
                </c:pt>
              </c:numCache>
            </c:numRef>
          </c:val>
        </c:ser>
        <c:dLbls>
          <c:showVal val="1"/>
        </c:dLbls>
        <c:axId val="133504384"/>
        <c:axId val="133534848"/>
      </c:barChart>
      <c:catAx>
        <c:axId val="133504384"/>
        <c:scaling>
          <c:orientation val="minMax"/>
        </c:scaling>
        <c:axPos val="b"/>
        <c:numFmt formatCode="General" sourceLinked="0"/>
        <c:majorTickMark val="none"/>
        <c:tickLblPos val="nextTo"/>
        <c:crossAx val="133534848"/>
        <c:crosses val="autoZero"/>
        <c:auto val="1"/>
        <c:lblAlgn val="ctr"/>
        <c:lblOffset val="100"/>
      </c:catAx>
      <c:valAx>
        <c:axId val="1335348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350438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лабораторных исследований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70.3</c:v>
                </c:pt>
                <c:pt idx="1">
                  <c:v>66.3</c:v>
                </c:pt>
                <c:pt idx="2">
                  <c:v>71.3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</c:v>
                </c:pt>
                <c:pt idx="1">
                  <c:v>62.8</c:v>
                </c:pt>
                <c:pt idx="2">
                  <c:v>67.2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24.3</c:v>
                </c:pt>
                <c:pt idx="1">
                  <c:v>23.3</c:v>
                </c:pt>
                <c:pt idx="2">
                  <c:v>22.8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26.1</c:v>
                </c:pt>
                <c:pt idx="1">
                  <c:v>25.7</c:v>
                </c:pt>
                <c:pt idx="2">
                  <c:v>24.9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10.4</c:v>
                </c:pt>
                <c:pt idx="2">
                  <c:v>5.9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7.9</c:v>
                </c:pt>
                <c:pt idx="1">
                  <c:v>11.5</c:v>
                </c:pt>
                <c:pt idx="2">
                  <c:v>7.9</c:v>
                </c:pt>
              </c:numCache>
            </c:numRef>
          </c:val>
        </c:ser>
        <c:dLbls>
          <c:showVal val="1"/>
        </c:dLbls>
        <c:axId val="133619712"/>
        <c:axId val="133621248"/>
      </c:barChart>
      <c:catAx>
        <c:axId val="133619712"/>
        <c:scaling>
          <c:orientation val="minMax"/>
        </c:scaling>
        <c:axPos val="b"/>
        <c:numFmt formatCode="General" sourceLinked="0"/>
        <c:majorTickMark val="none"/>
        <c:tickLblPos val="nextTo"/>
        <c:crossAx val="133621248"/>
        <c:crosses val="autoZero"/>
        <c:auto val="1"/>
        <c:lblAlgn val="ctr"/>
        <c:lblOffset val="100"/>
      </c:catAx>
      <c:valAx>
        <c:axId val="1336212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361971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племенного животноводства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66.3</c:v>
                </c:pt>
                <c:pt idx="1">
                  <c:v>74.8</c:v>
                </c:pt>
                <c:pt idx="2">
                  <c:v>67.8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62.5</c:v>
                </c:pt>
                <c:pt idx="1">
                  <c:v>70.400000000000006</c:v>
                </c:pt>
                <c:pt idx="2">
                  <c:v>66.400000000000006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26.7</c:v>
                </c:pt>
                <c:pt idx="1">
                  <c:v>19.3</c:v>
                </c:pt>
                <c:pt idx="2">
                  <c:v>26.2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28.9</c:v>
                </c:pt>
                <c:pt idx="1">
                  <c:v>21.7</c:v>
                </c:pt>
                <c:pt idx="2">
                  <c:v>26.1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6.9</c:v>
                </c:pt>
                <c:pt idx="1">
                  <c:v>5.9</c:v>
                </c:pt>
                <c:pt idx="2">
                  <c:v>5.9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8.7000000000000011</c:v>
                </c:pt>
                <c:pt idx="1">
                  <c:v>7.9</c:v>
                </c:pt>
                <c:pt idx="2">
                  <c:v>5.9</c:v>
                </c:pt>
              </c:numCache>
            </c:numRef>
          </c:val>
        </c:ser>
        <c:dLbls>
          <c:showVal val="1"/>
        </c:dLbls>
        <c:axId val="133734784"/>
        <c:axId val="133736320"/>
      </c:barChart>
      <c:catAx>
        <c:axId val="133734784"/>
        <c:scaling>
          <c:orientation val="minMax"/>
        </c:scaling>
        <c:axPos val="b"/>
        <c:numFmt formatCode="General" sourceLinked="0"/>
        <c:majorTickMark val="none"/>
        <c:tickLblPos val="nextTo"/>
        <c:crossAx val="133736320"/>
        <c:crosses val="autoZero"/>
        <c:auto val="1"/>
        <c:lblAlgn val="ctr"/>
        <c:lblOffset val="100"/>
      </c:catAx>
      <c:valAx>
        <c:axId val="1337363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373478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семеноводства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62.4</c:v>
                </c:pt>
                <c:pt idx="1">
                  <c:v>72.8</c:v>
                </c:pt>
                <c:pt idx="2">
                  <c:v>68.3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62.1</c:v>
                </c:pt>
                <c:pt idx="1">
                  <c:v>71.099999999999994</c:v>
                </c:pt>
                <c:pt idx="2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31.2</c:v>
                </c:pt>
                <c:pt idx="1">
                  <c:v>19.8</c:v>
                </c:pt>
                <c:pt idx="2">
                  <c:v>24.3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30</c:v>
                </c:pt>
                <c:pt idx="1">
                  <c:v>20.2</c:v>
                </c:pt>
                <c:pt idx="2">
                  <c:v>25.3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6.4</c:v>
                </c:pt>
                <c:pt idx="1">
                  <c:v>7.4</c:v>
                </c:pt>
                <c:pt idx="2">
                  <c:v>7.4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7.9</c:v>
                </c:pt>
                <c:pt idx="1">
                  <c:v>8.7000000000000011</c:v>
                </c:pt>
                <c:pt idx="2">
                  <c:v>8.7000000000000011</c:v>
                </c:pt>
              </c:numCache>
            </c:numRef>
          </c:val>
        </c:ser>
        <c:dLbls>
          <c:showVal val="1"/>
        </c:dLbls>
        <c:axId val="134132480"/>
        <c:axId val="134134016"/>
      </c:barChart>
      <c:catAx>
        <c:axId val="134132480"/>
        <c:scaling>
          <c:orientation val="minMax"/>
        </c:scaling>
        <c:axPos val="b"/>
        <c:numFmt formatCode="General" sourceLinked="0"/>
        <c:majorTickMark val="none"/>
        <c:tickLblPos val="nextTo"/>
        <c:crossAx val="134134016"/>
        <c:crosses val="autoZero"/>
        <c:auto val="1"/>
        <c:lblAlgn val="ctr"/>
        <c:lblOffset val="100"/>
      </c:catAx>
      <c:valAx>
        <c:axId val="1341340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413248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вылова водных биоресурсов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69.3</c:v>
                </c:pt>
                <c:pt idx="1">
                  <c:v>69.3</c:v>
                </c:pt>
                <c:pt idx="2">
                  <c:v>64.400000000000006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</c:v>
                </c:pt>
                <c:pt idx="1">
                  <c:v>66.8</c:v>
                </c:pt>
                <c:pt idx="2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25.2</c:v>
                </c:pt>
                <c:pt idx="1">
                  <c:v>22.3</c:v>
                </c:pt>
                <c:pt idx="2">
                  <c:v>31.2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26.5</c:v>
                </c:pt>
                <c:pt idx="1">
                  <c:v>23.7</c:v>
                </c:pt>
                <c:pt idx="2">
                  <c:v>29.6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8.4</c:v>
                </c:pt>
                <c:pt idx="2">
                  <c:v>4.5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7.5</c:v>
                </c:pt>
                <c:pt idx="1">
                  <c:v>9.5</c:v>
                </c:pt>
                <c:pt idx="2">
                  <c:v>6.3</c:v>
                </c:pt>
              </c:numCache>
            </c:numRef>
          </c:val>
        </c:ser>
        <c:dLbls>
          <c:showVal val="1"/>
        </c:dLbls>
        <c:axId val="137057792"/>
        <c:axId val="137059328"/>
      </c:barChart>
      <c:catAx>
        <c:axId val="137057792"/>
        <c:scaling>
          <c:orientation val="minMax"/>
        </c:scaling>
        <c:axPos val="b"/>
        <c:numFmt formatCode="General" sourceLinked="0"/>
        <c:majorTickMark val="none"/>
        <c:tickLblPos val="nextTo"/>
        <c:crossAx val="137059328"/>
        <c:crosses val="autoZero"/>
        <c:auto val="1"/>
        <c:lblAlgn val="ctr"/>
        <c:lblOffset val="100"/>
      </c:catAx>
      <c:valAx>
        <c:axId val="1370593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705779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переработки водных биоресурсов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67.8</c:v>
                </c:pt>
                <c:pt idx="1">
                  <c:v>65.8</c:v>
                </c:pt>
                <c:pt idx="2">
                  <c:v>63.9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65.2</c:v>
                </c:pt>
                <c:pt idx="1">
                  <c:v>65.599999999999994</c:v>
                </c:pt>
                <c:pt idx="2">
                  <c:v>64.400000000000006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25.2</c:v>
                </c:pt>
                <c:pt idx="1">
                  <c:v>26.2</c:v>
                </c:pt>
                <c:pt idx="2">
                  <c:v>32.200000000000003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26.1</c:v>
                </c:pt>
                <c:pt idx="1">
                  <c:v>25.3</c:v>
                </c:pt>
                <c:pt idx="2">
                  <c:v>29.6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6.9</c:v>
                </c:pt>
                <c:pt idx="1">
                  <c:v>7.9</c:v>
                </c:pt>
                <c:pt idx="2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8.7000000000000011</c:v>
                </c:pt>
                <c:pt idx="1">
                  <c:v>9.1</c:v>
                </c:pt>
                <c:pt idx="2">
                  <c:v>5.9</c:v>
                </c:pt>
              </c:numCache>
            </c:numRef>
          </c:val>
        </c:ser>
        <c:dLbls>
          <c:showVal val="1"/>
        </c:dLbls>
        <c:axId val="137291648"/>
        <c:axId val="137293184"/>
      </c:barChart>
      <c:catAx>
        <c:axId val="137291648"/>
        <c:scaling>
          <c:orientation val="minMax"/>
        </c:scaling>
        <c:axPos val="b"/>
        <c:numFmt formatCode="General" sourceLinked="0"/>
        <c:majorTickMark val="none"/>
        <c:tickLblPos val="nextTo"/>
        <c:crossAx val="137293184"/>
        <c:crosses val="autoZero"/>
        <c:auto val="1"/>
        <c:lblAlgn val="ctr"/>
        <c:lblOffset val="100"/>
      </c:catAx>
      <c:valAx>
        <c:axId val="1372931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729164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товарной аквакультуры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72.8</c:v>
                </c:pt>
                <c:pt idx="1">
                  <c:v>65.8</c:v>
                </c:pt>
                <c:pt idx="2">
                  <c:v>72.3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69.599999999999994</c:v>
                </c:pt>
                <c:pt idx="1">
                  <c:v>66.8</c:v>
                </c:pt>
                <c:pt idx="2">
                  <c:v>70.8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21.8</c:v>
                </c:pt>
                <c:pt idx="1">
                  <c:v>26.7</c:v>
                </c:pt>
                <c:pt idx="2">
                  <c:v>22.8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22.9</c:v>
                </c:pt>
                <c:pt idx="1">
                  <c:v>26.1</c:v>
                </c:pt>
                <c:pt idx="2">
                  <c:v>23.7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7.4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7.5</c:v>
                </c:pt>
                <c:pt idx="1">
                  <c:v>7.1</c:v>
                </c:pt>
                <c:pt idx="2">
                  <c:v>5.5</c:v>
                </c:pt>
              </c:numCache>
            </c:numRef>
          </c:val>
        </c:ser>
        <c:dLbls>
          <c:showVal val="1"/>
        </c:dLbls>
        <c:axId val="137603328"/>
        <c:axId val="137695232"/>
      </c:barChart>
      <c:catAx>
        <c:axId val="137603328"/>
        <c:scaling>
          <c:orientation val="minMax"/>
        </c:scaling>
        <c:axPos val="b"/>
        <c:numFmt formatCode="General" sourceLinked="0"/>
        <c:majorTickMark val="none"/>
        <c:tickLblPos val="nextTo"/>
        <c:crossAx val="137695232"/>
        <c:crosses val="autoZero"/>
        <c:auto val="1"/>
        <c:lblAlgn val="ctr"/>
        <c:lblOffset val="100"/>
      </c:catAx>
      <c:valAx>
        <c:axId val="1376952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760332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добыче общераспрастраненных полезных ископаемых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71.3</c:v>
                </c:pt>
                <c:pt idx="1">
                  <c:v>81.2</c:v>
                </c:pt>
                <c:pt idx="2">
                  <c:v>65.8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66.8</c:v>
                </c:pt>
                <c:pt idx="1">
                  <c:v>67.599999999999994</c:v>
                </c:pt>
                <c:pt idx="2">
                  <c:v>65.2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23.8</c:v>
                </c:pt>
                <c:pt idx="1">
                  <c:v>10.9</c:v>
                </c:pt>
                <c:pt idx="2">
                  <c:v>30.7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25.7</c:v>
                </c:pt>
                <c:pt idx="1">
                  <c:v>22.5</c:v>
                </c:pt>
                <c:pt idx="2">
                  <c:v>30.4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8.4</c:v>
                </c:pt>
                <c:pt idx="2">
                  <c:v>3.5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7.5</c:v>
                </c:pt>
                <c:pt idx="1">
                  <c:v>9.9</c:v>
                </c:pt>
                <c:pt idx="2">
                  <c:v>4.3</c:v>
                </c:pt>
              </c:numCache>
            </c:numRef>
          </c:val>
        </c:ser>
        <c:dLbls>
          <c:showVal val="1"/>
        </c:dLbls>
        <c:axId val="137763840"/>
        <c:axId val="137794304"/>
      </c:barChart>
      <c:catAx>
        <c:axId val="137763840"/>
        <c:scaling>
          <c:orientation val="minMax"/>
        </c:scaling>
        <c:axPos val="b"/>
        <c:numFmt formatCode="General" sourceLinked="0"/>
        <c:majorTickMark val="none"/>
        <c:tickLblPos val="nextTo"/>
        <c:crossAx val="137794304"/>
        <c:crosses val="autoZero"/>
        <c:auto val="1"/>
        <c:lblAlgn val="ctr"/>
        <c:lblOffset val="100"/>
      </c:catAx>
      <c:valAx>
        <c:axId val="1377943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776384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нефтепродуктов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68.8</c:v>
                </c:pt>
                <c:pt idx="1">
                  <c:v>51.9</c:v>
                </c:pt>
                <c:pt idx="2">
                  <c:v>65.3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64.8</c:v>
                </c:pt>
                <c:pt idx="1">
                  <c:v>72.3</c:v>
                </c:pt>
                <c:pt idx="2">
                  <c:v>75.5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24.3</c:v>
                </c:pt>
                <c:pt idx="1">
                  <c:v>28.7</c:v>
                </c:pt>
                <c:pt idx="2">
                  <c:v>31.2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26.9</c:v>
                </c:pt>
                <c:pt idx="1">
                  <c:v>17.8</c:v>
                </c:pt>
                <c:pt idx="2">
                  <c:v>19.8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6.9</c:v>
                </c:pt>
                <c:pt idx="1">
                  <c:v>9.4</c:v>
                </c:pt>
                <c:pt idx="2">
                  <c:v>3.5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9.9</c:v>
                </c:pt>
                <c:pt idx="2">
                  <c:v>4.7</c:v>
                </c:pt>
              </c:numCache>
            </c:numRef>
          </c:val>
        </c:ser>
        <c:dLbls>
          <c:showVal val="1"/>
        </c:dLbls>
        <c:axId val="137829760"/>
        <c:axId val="137860224"/>
      </c:barChart>
      <c:catAx>
        <c:axId val="137829760"/>
        <c:scaling>
          <c:orientation val="minMax"/>
        </c:scaling>
        <c:axPos val="b"/>
        <c:numFmt formatCode="General" sourceLinked="0"/>
        <c:majorTickMark val="none"/>
        <c:tickLblPos val="nextTo"/>
        <c:crossAx val="137860224"/>
        <c:crosses val="autoZero"/>
        <c:auto val="1"/>
        <c:lblAlgn val="ctr"/>
        <c:lblOffset val="100"/>
      </c:catAx>
      <c:valAx>
        <c:axId val="1378602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782976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легкой промышленности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65.3</c:v>
                </c:pt>
                <c:pt idx="1">
                  <c:v>60.9</c:v>
                </c:pt>
                <c:pt idx="2">
                  <c:v>73.8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90.1</c:v>
                </c:pt>
                <c:pt idx="1">
                  <c:v>88.5</c:v>
                </c:pt>
                <c:pt idx="2">
                  <c:v>84.6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25.7</c:v>
                </c:pt>
                <c:pt idx="1">
                  <c:v>32.200000000000003</c:v>
                </c:pt>
                <c:pt idx="2">
                  <c:v>17.8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7.1</c:v>
                </c:pt>
                <c:pt idx="1">
                  <c:v>7.5</c:v>
                </c:pt>
                <c:pt idx="2">
                  <c:v>10.3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8.9</c:v>
                </c:pt>
                <c:pt idx="1">
                  <c:v>6.9</c:v>
                </c:pt>
                <c:pt idx="2">
                  <c:v>8.4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9.5</c:v>
                </c:pt>
                <c:pt idx="1">
                  <c:v>7.9</c:v>
                </c:pt>
                <c:pt idx="2">
                  <c:v>9.1</c:v>
                </c:pt>
              </c:numCache>
            </c:numRef>
          </c:val>
        </c:ser>
        <c:dLbls>
          <c:showVal val="1"/>
        </c:dLbls>
        <c:axId val="137982336"/>
        <c:axId val="137983872"/>
      </c:barChart>
      <c:catAx>
        <c:axId val="137982336"/>
        <c:scaling>
          <c:orientation val="minMax"/>
        </c:scaling>
        <c:axPos val="b"/>
        <c:numFmt formatCode="General" sourceLinked="0"/>
        <c:majorTickMark val="none"/>
        <c:tickLblPos val="nextTo"/>
        <c:crossAx val="137983872"/>
        <c:crosses val="autoZero"/>
        <c:auto val="1"/>
        <c:lblAlgn val="ctr"/>
        <c:lblOffset val="100"/>
      </c:catAx>
      <c:valAx>
        <c:axId val="1379838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798233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ощего образования в сравнении с прошлым годом, %</a:t>
            </a:r>
          </a:p>
          <a:p>
            <a:pPr>
              <a:defRPr sz="900"/>
            </a:pPr>
            <a:endParaRPr lang="ru-RU" sz="90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67.8</c:v>
                </c:pt>
                <c:pt idx="1">
                  <c:v>62.9</c:v>
                </c:pt>
                <c:pt idx="2">
                  <c:v>72.8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66</c:v>
                </c:pt>
                <c:pt idx="2">
                  <c:v>67.599999999999994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27.8</c:v>
                </c:pt>
                <c:pt idx="1">
                  <c:v>31.7</c:v>
                </c:pt>
                <c:pt idx="2">
                  <c:v>21.8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24.5</c:v>
                </c:pt>
                <c:pt idx="1">
                  <c:v>28.1</c:v>
                </c:pt>
                <c:pt idx="2">
                  <c:v>25.7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5.4</c:v>
                </c:pt>
                <c:pt idx="2">
                  <c:v>5.4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5.5</c:v>
                </c:pt>
                <c:pt idx="1">
                  <c:v>5.9</c:v>
                </c:pt>
                <c:pt idx="2">
                  <c:v>6.7</c:v>
                </c:pt>
              </c:numCache>
            </c:numRef>
          </c:val>
        </c:ser>
        <c:dLbls>
          <c:showVal val="1"/>
        </c:dLbls>
        <c:axId val="119535488"/>
        <c:axId val="119537024"/>
      </c:barChart>
      <c:catAx>
        <c:axId val="119535488"/>
        <c:scaling>
          <c:orientation val="minMax"/>
        </c:scaling>
        <c:axPos val="b"/>
        <c:numFmt formatCode="General" sourceLinked="0"/>
        <c:majorTickMark val="none"/>
        <c:tickLblPos val="nextTo"/>
        <c:crossAx val="119537024"/>
        <c:crosses val="autoZero"/>
        <c:auto val="1"/>
        <c:lblAlgn val="ctr"/>
        <c:lblOffset val="100"/>
      </c:catAx>
      <c:valAx>
        <c:axId val="1195370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953548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обработки древесины и производства изделий из дерева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70.3</c:v>
                </c:pt>
                <c:pt idx="1">
                  <c:v>70.8</c:v>
                </c:pt>
                <c:pt idx="2">
                  <c:v>60.9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69.2</c:v>
                </c:pt>
                <c:pt idx="1">
                  <c:v>69.2</c:v>
                </c:pt>
                <c:pt idx="2">
                  <c:v>58.9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22.3</c:v>
                </c:pt>
                <c:pt idx="1">
                  <c:v>20.3</c:v>
                </c:pt>
                <c:pt idx="2">
                  <c:v>34.200000000000003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22.9</c:v>
                </c:pt>
                <c:pt idx="1">
                  <c:v>21.7</c:v>
                </c:pt>
                <c:pt idx="2">
                  <c:v>35.200000000000003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7.4</c:v>
                </c:pt>
                <c:pt idx="1">
                  <c:v>8.9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7.9</c:v>
                </c:pt>
                <c:pt idx="1">
                  <c:v>9.1</c:v>
                </c:pt>
                <c:pt idx="2">
                  <c:v>5.9</c:v>
                </c:pt>
              </c:numCache>
            </c:numRef>
          </c:val>
        </c:ser>
        <c:dLbls>
          <c:showVal val="1"/>
        </c:dLbls>
        <c:axId val="138052736"/>
        <c:axId val="138054272"/>
      </c:barChart>
      <c:catAx>
        <c:axId val="138052736"/>
        <c:scaling>
          <c:orientation val="minMax"/>
        </c:scaling>
        <c:axPos val="b"/>
        <c:numFmt formatCode="General" sourceLinked="0"/>
        <c:majorTickMark val="none"/>
        <c:tickLblPos val="nextTo"/>
        <c:crossAx val="138054272"/>
        <c:crosses val="autoZero"/>
        <c:auto val="1"/>
        <c:lblAlgn val="ctr"/>
        <c:lblOffset val="100"/>
      </c:catAx>
      <c:valAx>
        <c:axId val="1380542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805273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производства кирпича 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70.8</c:v>
                </c:pt>
                <c:pt idx="1">
                  <c:v>66.8</c:v>
                </c:pt>
                <c:pt idx="2">
                  <c:v>63.9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68.400000000000006</c:v>
                </c:pt>
                <c:pt idx="1">
                  <c:v>77.900000000000006</c:v>
                </c:pt>
                <c:pt idx="2">
                  <c:v>81.8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23.3</c:v>
                </c:pt>
                <c:pt idx="1">
                  <c:v>24.8</c:v>
                </c:pt>
                <c:pt idx="2">
                  <c:v>31.2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23.7</c:v>
                </c:pt>
                <c:pt idx="1">
                  <c:v>16.2</c:v>
                </c:pt>
                <c:pt idx="2">
                  <c:v>11.9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5.9</c:v>
                </c:pt>
                <c:pt idx="1">
                  <c:v>8.4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7.9</c:v>
                </c:pt>
                <c:pt idx="1">
                  <c:v>9.9</c:v>
                </c:pt>
                <c:pt idx="2">
                  <c:v>6.3</c:v>
                </c:pt>
              </c:numCache>
            </c:numRef>
          </c:val>
        </c:ser>
        <c:dLbls>
          <c:showVal val="1"/>
        </c:dLbls>
        <c:axId val="138171904"/>
        <c:axId val="138173440"/>
      </c:barChart>
      <c:catAx>
        <c:axId val="138171904"/>
        <c:scaling>
          <c:orientation val="minMax"/>
        </c:scaling>
        <c:axPos val="b"/>
        <c:numFmt formatCode="General" sourceLinked="0"/>
        <c:majorTickMark val="none"/>
        <c:tickLblPos val="nextTo"/>
        <c:crossAx val="138173440"/>
        <c:crosses val="autoZero"/>
        <c:auto val="1"/>
        <c:lblAlgn val="ctr"/>
        <c:lblOffset val="100"/>
      </c:catAx>
      <c:valAx>
        <c:axId val="1381734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817190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производства бетона 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69.8</c:v>
                </c:pt>
                <c:pt idx="1">
                  <c:v>72.8</c:v>
                </c:pt>
                <c:pt idx="2">
                  <c:v>64.400000000000006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67.2</c:v>
                </c:pt>
                <c:pt idx="1">
                  <c:v>68.8</c:v>
                </c:pt>
                <c:pt idx="2">
                  <c:v>59.7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22.8</c:v>
                </c:pt>
                <c:pt idx="1">
                  <c:v>18.3</c:v>
                </c:pt>
                <c:pt idx="2">
                  <c:v>30.7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24.5</c:v>
                </c:pt>
                <c:pt idx="1">
                  <c:v>21.7</c:v>
                </c:pt>
                <c:pt idx="2">
                  <c:v>33.200000000000003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7.4</c:v>
                </c:pt>
                <c:pt idx="1">
                  <c:v>8.9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9.5</c:v>
                </c:pt>
                <c:pt idx="2">
                  <c:v>7.1</c:v>
                </c:pt>
              </c:numCache>
            </c:numRef>
          </c:val>
        </c:ser>
        <c:dLbls>
          <c:showVal val="1"/>
        </c:dLbls>
        <c:axId val="138299648"/>
        <c:axId val="138313728"/>
      </c:barChart>
      <c:catAx>
        <c:axId val="138299648"/>
        <c:scaling>
          <c:orientation val="minMax"/>
        </c:scaling>
        <c:axPos val="b"/>
        <c:numFmt formatCode="General" sourceLinked="0"/>
        <c:majorTickMark val="none"/>
        <c:tickLblPos val="nextTo"/>
        <c:crossAx val="138313728"/>
        <c:crosses val="autoZero"/>
        <c:auto val="1"/>
        <c:lblAlgn val="ctr"/>
        <c:lblOffset val="100"/>
      </c:catAx>
      <c:valAx>
        <c:axId val="1383137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829964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наружной рекламы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73.8</c:v>
                </c:pt>
                <c:pt idx="1">
                  <c:v>76.7</c:v>
                </c:pt>
                <c:pt idx="2">
                  <c:v>76.7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88.9</c:v>
                </c:pt>
                <c:pt idx="1">
                  <c:v>88.7</c:v>
                </c:pt>
                <c:pt idx="2">
                  <c:v>88.1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20.3</c:v>
                </c:pt>
                <c:pt idx="1">
                  <c:v>17.8</c:v>
                </c:pt>
                <c:pt idx="2">
                  <c:v>17.8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6.3</c:v>
                </c:pt>
                <c:pt idx="1">
                  <c:v>9.1</c:v>
                </c:pt>
                <c:pt idx="2">
                  <c:v>9.1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5.9</c:v>
                </c:pt>
                <c:pt idx="1">
                  <c:v>5.4</c:v>
                </c:pt>
                <c:pt idx="2">
                  <c:v>5.4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7.9</c:v>
                </c:pt>
                <c:pt idx="1">
                  <c:v>7.1</c:v>
                </c:pt>
                <c:pt idx="2">
                  <c:v>6.7</c:v>
                </c:pt>
              </c:numCache>
            </c:numRef>
          </c:val>
        </c:ser>
        <c:dLbls>
          <c:showVal val="1"/>
        </c:dLbls>
        <c:axId val="138406912"/>
        <c:axId val="138625792"/>
      </c:barChart>
      <c:catAx>
        <c:axId val="138406912"/>
        <c:scaling>
          <c:orientation val="minMax"/>
        </c:scaling>
        <c:axPos val="b"/>
        <c:numFmt formatCode="General" sourceLinked="0"/>
        <c:majorTickMark val="none"/>
        <c:tickLblPos val="nextTo"/>
        <c:crossAx val="138625792"/>
        <c:crosses val="autoZero"/>
        <c:auto val="1"/>
        <c:lblAlgn val="ctr"/>
        <c:lblOffset val="100"/>
      </c:catAx>
      <c:valAx>
        <c:axId val="1386257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840691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санаторно-курортных и туристических услуг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56.4</c:v>
                </c:pt>
                <c:pt idx="1">
                  <c:v>81.2</c:v>
                </c:pt>
                <c:pt idx="2">
                  <c:v>77.2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55.7</c:v>
                </c:pt>
                <c:pt idx="1">
                  <c:v>75.900000000000006</c:v>
                </c:pt>
                <c:pt idx="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38.1</c:v>
                </c:pt>
                <c:pt idx="1">
                  <c:v>10.9</c:v>
                </c:pt>
                <c:pt idx="2">
                  <c:v>17.3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37.200000000000003</c:v>
                </c:pt>
                <c:pt idx="1">
                  <c:v>15.4</c:v>
                </c:pt>
                <c:pt idx="2">
                  <c:v>23.3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5.4</c:v>
                </c:pt>
                <c:pt idx="1">
                  <c:v>7.9</c:v>
                </c:pt>
                <c:pt idx="2">
                  <c:v>5.4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7.1</c:v>
                </c:pt>
                <c:pt idx="1">
                  <c:v>8.7000000000000011</c:v>
                </c:pt>
                <c:pt idx="2">
                  <c:v>6.7</c:v>
                </c:pt>
              </c:numCache>
            </c:numRef>
          </c:val>
        </c:ser>
        <c:dLbls>
          <c:showVal val="1"/>
        </c:dLbls>
        <c:axId val="118968320"/>
        <c:axId val="118969856"/>
      </c:barChart>
      <c:catAx>
        <c:axId val="118968320"/>
        <c:scaling>
          <c:orientation val="minMax"/>
        </c:scaling>
        <c:axPos val="b"/>
        <c:numFmt formatCode="General" sourceLinked="0"/>
        <c:majorTickMark val="none"/>
        <c:tickLblPos val="nextTo"/>
        <c:crossAx val="118969856"/>
        <c:crosses val="autoZero"/>
        <c:auto val="1"/>
        <c:lblAlgn val="ctr"/>
        <c:lblOffset val="100"/>
      </c:catAx>
      <c:valAx>
        <c:axId val="1189698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896832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минеральной воды в сравнении с прошлым годом,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72.3</c:v>
                </c:pt>
                <c:pt idx="1">
                  <c:v>72.8</c:v>
                </c:pt>
                <c:pt idx="2">
                  <c:v>63.9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90.9</c:v>
                </c:pt>
                <c:pt idx="1">
                  <c:v>87.4</c:v>
                </c:pt>
                <c:pt idx="2">
                  <c:v>94.1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22.8</c:v>
                </c:pt>
                <c:pt idx="1">
                  <c:v>18.3</c:v>
                </c:pt>
                <c:pt idx="2">
                  <c:v>31.2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6.7</c:v>
                </c:pt>
                <c:pt idx="1">
                  <c:v>7.9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8.9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4.3</c:v>
                </c:pt>
                <c:pt idx="1">
                  <c:v>8.7000000000000011</c:v>
                </c:pt>
                <c:pt idx="2">
                  <c:v>4.3</c:v>
                </c:pt>
              </c:numCache>
            </c:numRef>
          </c:val>
        </c:ser>
        <c:dLbls>
          <c:showVal val="1"/>
        </c:dLbls>
        <c:axId val="119259904"/>
        <c:axId val="119261440"/>
      </c:barChart>
      <c:catAx>
        <c:axId val="119259904"/>
        <c:scaling>
          <c:orientation val="minMax"/>
        </c:scaling>
        <c:axPos val="b"/>
        <c:numFmt formatCode="General" sourceLinked="0"/>
        <c:majorTickMark val="none"/>
        <c:tickLblPos val="nextTo"/>
        <c:crossAx val="119261440"/>
        <c:crosses val="autoZero"/>
        <c:auto val="1"/>
        <c:lblAlgn val="ctr"/>
        <c:lblOffset val="100"/>
      </c:catAx>
      <c:valAx>
        <c:axId val="1192614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925990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3776064450277113E-2"/>
          <c:y val="0.10218253968253969"/>
          <c:w val="0.53990266841644796"/>
          <c:h val="0.787698412698433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</c:sp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Юридические лица</c:v>
                </c:pt>
                <c:pt idx="1">
                  <c:v>Имеют статус замозанятого</c:v>
                </c:pt>
                <c:pt idx="2">
                  <c:v>Индивидуальные предприниматели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0.125</c:v>
                </c:pt>
                <c:pt idx="1">
                  <c:v>0.17800000000000005</c:v>
                </c:pt>
                <c:pt idx="2">
                  <c:v>0.69599999999999995</c:v>
                </c:pt>
              </c:numCache>
            </c:numRef>
          </c:val>
        </c:ser>
      </c:pie3DChart>
      <c:spPr>
        <a:noFill/>
        <a:ln>
          <a:noFill/>
        </a:ln>
      </c:spPr>
    </c:plotArea>
    <c:legend>
      <c:legendPos val="r"/>
    </c:legend>
    <c:plotVisOnly val="1"/>
  </c:chart>
  <c:spPr>
    <a:noFill/>
    <a:ln>
      <a:noFill/>
    </a:ln>
  </c:sp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Затрудняюсь ответить</c:v>
                </c:pt>
                <c:pt idx="1">
                  <c:v>Не изменилось</c:v>
                </c:pt>
                <c:pt idx="2">
                  <c:v>Сократилось более чем на 4 конкурента </c:v>
                </c:pt>
                <c:pt idx="3">
                  <c:v>Сократилось на 1-3 конкурента</c:v>
                </c:pt>
                <c:pt idx="4">
                  <c:v>Увеличилось более чем на 4 конкурента </c:v>
                </c:pt>
                <c:pt idx="5">
                  <c:v>Увеличилось на 1-3 конкурента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.0">
                  <c:v>12.5</c:v>
                </c:pt>
                <c:pt idx="1">
                  <c:v>43.8</c:v>
                </c:pt>
                <c:pt idx="2">
                  <c:v>0</c:v>
                </c:pt>
                <c:pt idx="3" formatCode="0.0">
                  <c:v>14.6</c:v>
                </c:pt>
                <c:pt idx="4">
                  <c:v>4.2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Затрудняюсь ответить</c:v>
                </c:pt>
                <c:pt idx="1">
                  <c:v>Не изменилось</c:v>
                </c:pt>
                <c:pt idx="2">
                  <c:v>Сократилось более чем на 4 конкурента </c:v>
                </c:pt>
                <c:pt idx="3">
                  <c:v>Сократилось на 1-3 конкурента</c:v>
                </c:pt>
                <c:pt idx="4">
                  <c:v>Увеличилось более чем на 4 конкурента </c:v>
                </c:pt>
                <c:pt idx="5">
                  <c:v>Увеличилось на 1-3 конкурента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.0">
                  <c:v>12.5</c:v>
                </c:pt>
                <c:pt idx="1">
                  <c:v>42.9</c:v>
                </c:pt>
                <c:pt idx="2">
                  <c:v>0</c:v>
                </c:pt>
                <c:pt idx="3" formatCode="0.0">
                  <c:v>14.3</c:v>
                </c:pt>
                <c:pt idx="4">
                  <c:v>3.6</c:v>
                </c:pt>
                <c:pt idx="5">
                  <c:v>26.8</c:v>
                </c:pt>
              </c:numCache>
            </c:numRef>
          </c:val>
        </c:ser>
        <c:dLbls>
          <c:showVal val="1"/>
        </c:dLbls>
        <c:gapWidth val="75"/>
        <c:axId val="120608640"/>
        <c:axId val="120610176"/>
      </c:barChart>
      <c:catAx>
        <c:axId val="1206086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610176"/>
        <c:crosses val="autoZero"/>
        <c:auto val="1"/>
        <c:lblAlgn val="ctr"/>
        <c:lblOffset val="100"/>
      </c:catAx>
      <c:valAx>
        <c:axId val="120610176"/>
        <c:scaling>
          <c:orientation val="minMax"/>
        </c:scaling>
        <c:axPos val="b"/>
        <c:numFmt formatCode="0.0" sourceLinked="1"/>
        <c:majorTickMark val="none"/>
        <c:tickLblPos val="nextTo"/>
        <c:crossAx val="120608640"/>
        <c:crosses val="autoZero"/>
        <c:crossBetween val="between"/>
      </c:valAx>
    </c:plotArea>
    <c:legend>
      <c:legendPos val="b"/>
    </c:legend>
    <c:plotVisOnly val="1"/>
  </c:chart>
  <c:spPr>
    <a:noFill/>
    <a:ln>
      <a:noFill/>
    </a:ln>
  </c:sp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удовлетворенности видами оказываемых услуг субъектами естественных монополий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Сроки подключения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Телефонная связь, сеть "Интернет" 2022</c:v>
                </c:pt>
                <c:pt idx="1">
                  <c:v>Телефонная связь, сеть "Интернет" 2023</c:v>
                </c:pt>
                <c:pt idx="2">
                  <c:v>Теплоснабжение 2022</c:v>
                </c:pt>
                <c:pt idx="3">
                  <c:v>Теплоснабжение 2023</c:v>
                </c:pt>
                <c:pt idx="4">
                  <c:v>Электроснабжение 2022</c:v>
                </c:pt>
                <c:pt idx="5">
                  <c:v>Электроснабжение 2023</c:v>
                </c:pt>
                <c:pt idx="6">
                  <c:v>Газоснабжение 2022</c:v>
                </c:pt>
                <c:pt idx="7">
                  <c:v>Газоснабжение 2023</c:v>
                </c:pt>
                <c:pt idx="8">
                  <c:v>Водоочистка 2022</c:v>
                </c:pt>
                <c:pt idx="9">
                  <c:v>Водоочистка 2023</c:v>
                </c:pt>
                <c:pt idx="10">
                  <c:v>Водоснабжение, водоотведение 2022</c:v>
                </c:pt>
                <c:pt idx="11">
                  <c:v>Водоснабжение, водоотведение 2023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0.62500000000000022</c:v>
                </c:pt>
                <c:pt idx="1">
                  <c:v>0.66100000000000025</c:v>
                </c:pt>
                <c:pt idx="2">
                  <c:v>0.87500000000000022</c:v>
                </c:pt>
                <c:pt idx="3">
                  <c:v>0.82099999999999995</c:v>
                </c:pt>
                <c:pt idx="4">
                  <c:v>0.64600000000000024</c:v>
                </c:pt>
                <c:pt idx="5">
                  <c:v>0.64300000000000024</c:v>
                </c:pt>
                <c:pt idx="6">
                  <c:v>0.66700000000000026</c:v>
                </c:pt>
                <c:pt idx="7">
                  <c:v>0.64300000000000024</c:v>
                </c:pt>
                <c:pt idx="8">
                  <c:v>0.56299999999999994</c:v>
                </c:pt>
                <c:pt idx="9">
                  <c:v>0.55400000000000005</c:v>
                </c:pt>
                <c:pt idx="10">
                  <c:v>0.66700000000000026</c:v>
                </c:pt>
                <c:pt idx="11">
                  <c:v>0.67900000000000038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03-448E-8131-E4831940EB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Сложность процедур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Телефонная связь, сеть "Интернет" 2022</c:v>
                </c:pt>
                <c:pt idx="1">
                  <c:v>Телефонная связь, сеть "Интернет" 2023</c:v>
                </c:pt>
                <c:pt idx="2">
                  <c:v>Теплоснабжение 2022</c:v>
                </c:pt>
                <c:pt idx="3">
                  <c:v>Теплоснабжение 2023</c:v>
                </c:pt>
                <c:pt idx="4">
                  <c:v>Электроснабжение 2022</c:v>
                </c:pt>
                <c:pt idx="5">
                  <c:v>Электроснабжение 2023</c:v>
                </c:pt>
                <c:pt idx="6">
                  <c:v>Газоснабжение 2022</c:v>
                </c:pt>
                <c:pt idx="7">
                  <c:v>Газоснабжение 2023</c:v>
                </c:pt>
                <c:pt idx="8">
                  <c:v>Водоочистка 2022</c:v>
                </c:pt>
                <c:pt idx="9">
                  <c:v>Водоочистка 2023</c:v>
                </c:pt>
                <c:pt idx="10">
                  <c:v>Водоснабжение, водоотведение 2022</c:v>
                </c:pt>
                <c:pt idx="11">
                  <c:v>Водоснабжение, водоотведение 2023</c:v>
                </c:pt>
              </c:strCache>
            </c:strRef>
          </c:cat>
          <c:val>
            <c:numRef>
              <c:f>Лист1!$C$2:$C$13</c:f>
              <c:numCache>
                <c:formatCode>0.0%</c:formatCode>
                <c:ptCount val="12"/>
                <c:pt idx="0">
                  <c:v>0.83300000000000018</c:v>
                </c:pt>
                <c:pt idx="1">
                  <c:v>0.80400000000000005</c:v>
                </c:pt>
                <c:pt idx="2">
                  <c:v>0.7290000000000002</c:v>
                </c:pt>
                <c:pt idx="3">
                  <c:v>0.71400000000000019</c:v>
                </c:pt>
                <c:pt idx="4">
                  <c:v>0.70800000000000018</c:v>
                </c:pt>
                <c:pt idx="5">
                  <c:v>0.66100000000000025</c:v>
                </c:pt>
                <c:pt idx="6">
                  <c:v>0.7290000000000002</c:v>
                </c:pt>
                <c:pt idx="7">
                  <c:v>0.73200000000000021</c:v>
                </c:pt>
                <c:pt idx="8">
                  <c:v>0.70800000000000018</c:v>
                </c:pt>
                <c:pt idx="9">
                  <c:v>0.69599999999999995</c:v>
                </c:pt>
                <c:pt idx="10">
                  <c:v>0.70800000000000018</c:v>
                </c:pt>
                <c:pt idx="11">
                  <c:v>0.69599999999999995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03-448E-8131-E4831940EB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Стоимость подключения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Телефонная связь, сеть "Интернет" 2022</c:v>
                </c:pt>
                <c:pt idx="1">
                  <c:v>Телефонная связь, сеть "Интернет" 2023</c:v>
                </c:pt>
                <c:pt idx="2">
                  <c:v>Теплоснабжение 2022</c:v>
                </c:pt>
                <c:pt idx="3">
                  <c:v>Теплоснабжение 2023</c:v>
                </c:pt>
                <c:pt idx="4">
                  <c:v>Электроснабжение 2022</c:v>
                </c:pt>
                <c:pt idx="5">
                  <c:v>Электроснабжение 2023</c:v>
                </c:pt>
                <c:pt idx="6">
                  <c:v>Газоснабжение 2022</c:v>
                </c:pt>
                <c:pt idx="7">
                  <c:v>Газоснабжение 2023</c:v>
                </c:pt>
                <c:pt idx="8">
                  <c:v>Водоочистка 2022</c:v>
                </c:pt>
                <c:pt idx="9">
                  <c:v>Водоочистка 2023</c:v>
                </c:pt>
                <c:pt idx="10">
                  <c:v>Водоснабжение, водоотведение 2022</c:v>
                </c:pt>
                <c:pt idx="11">
                  <c:v>Водоснабжение, водоотведение 2023</c:v>
                </c:pt>
              </c:strCache>
            </c:strRef>
          </c:cat>
          <c:val>
            <c:numRef>
              <c:f>Лист1!$D$2:$D$13</c:f>
              <c:numCache>
                <c:formatCode>0.0%</c:formatCode>
                <c:ptCount val="12"/>
                <c:pt idx="0">
                  <c:v>0.77100000000000024</c:v>
                </c:pt>
                <c:pt idx="1">
                  <c:v>0.73200000000000021</c:v>
                </c:pt>
                <c:pt idx="2">
                  <c:v>0.6040000000000002</c:v>
                </c:pt>
                <c:pt idx="3">
                  <c:v>0.58899999999999997</c:v>
                </c:pt>
                <c:pt idx="4">
                  <c:v>0.58299999999999996</c:v>
                </c:pt>
                <c:pt idx="5">
                  <c:v>0.57099999999999995</c:v>
                </c:pt>
                <c:pt idx="6">
                  <c:v>0.6040000000000002</c:v>
                </c:pt>
                <c:pt idx="7">
                  <c:v>0.60700000000000021</c:v>
                </c:pt>
                <c:pt idx="8">
                  <c:v>0.6040000000000002</c:v>
                </c:pt>
                <c:pt idx="9">
                  <c:v>0.62500000000000022</c:v>
                </c:pt>
                <c:pt idx="10">
                  <c:v>0.62500000000000022</c:v>
                </c:pt>
                <c:pt idx="11">
                  <c:v>0.62500000000000022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03-448E-8131-E4831940EB2F}"/>
            </c:ext>
          </c:extLst>
        </c:ser>
        <c:gapWidth val="95"/>
        <c:overlap val="100"/>
        <c:axId val="122034816"/>
        <c:axId val="122052992"/>
      </c:barChart>
      <c:catAx>
        <c:axId val="122034816"/>
        <c:scaling>
          <c:orientation val="minMax"/>
        </c:scaling>
        <c:axPos val="l"/>
        <c:min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22052992"/>
        <c:crosses val="autoZero"/>
        <c:auto val="1"/>
        <c:lblAlgn val="ctr"/>
        <c:lblOffset val="100"/>
      </c:catAx>
      <c:valAx>
        <c:axId val="122052992"/>
        <c:scaling>
          <c:orientation val="minMax"/>
        </c:scaling>
        <c:delete val="1"/>
        <c:axPos val="b"/>
        <c:numFmt formatCode="0.0%" sourceLinked="1"/>
        <c:tickLblPos val="none"/>
        <c:crossAx val="12203481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77.099999999999994</c:v>
                </c:pt>
                <c:pt idx="2">
                  <c:v>77.099999999999994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73.2</c:v>
                </c:pt>
                <c:pt idx="1">
                  <c:v>73.2</c:v>
                </c:pt>
                <c:pt idx="2">
                  <c:v>75</c:v>
                </c:pt>
              </c:numCache>
            </c:numRef>
          </c:val>
          <c:shape val="cylinder"/>
        </c:ser>
        <c:shape val="box"/>
        <c:axId val="122082048"/>
        <c:axId val="122083584"/>
        <c:axId val="0"/>
      </c:bar3DChart>
      <c:catAx>
        <c:axId val="122082048"/>
        <c:scaling>
          <c:orientation val="minMax"/>
        </c:scaling>
        <c:axPos val="b"/>
        <c:tickLblPos val="nextTo"/>
        <c:crossAx val="122083584"/>
        <c:crosses val="autoZero"/>
        <c:auto val="1"/>
        <c:lblAlgn val="ctr"/>
        <c:lblOffset val="100"/>
      </c:catAx>
      <c:valAx>
        <c:axId val="122083584"/>
        <c:scaling>
          <c:orientation val="minMax"/>
        </c:scaling>
        <c:axPos val="l"/>
        <c:majorGridlines/>
        <c:numFmt formatCode="General" sourceLinked="1"/>
        <c:tickLblPos val="nextTo"/>
        <c:crossAx val="122082048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среднего профессионального образования в сравнении с прошлым годом, %</a:t>
            </a:r>
          </a:p>
          <a:p>
            <a:pPr>
              <a:defRPr sz="900"/>
            </a:pPr>
            <a:endParaRPr lang="ru-RU" sz="90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56.9</c:v>
                </c:pt>
                <c:pt idx="1">
                  <c:v>71.3</c:v>
                </c:pt>
                <c:pt idx="2">
                  <c:v>62.4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62.1</c:v>
                </c:pt>
                <c:pt idx="1">
                  <c:v>70.8</c:v>
                </c:pt>
                <c:pt idx="2">
                  <c:v>61.3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38.1</c:v>
                </c:pt>
                <c:pt idx="1">
                  <c:v>23.8</c:v>
                </c:pt>
                <c:pt idx="2">
                  <c:v>32.700000000000003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32</c:v>
                </c:pt>
                <c:pt idx="1">
                  <c:v>22.9</c:v>
                </c:pt>
                <c:pt idx="2">
                  <c:v>32.4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5.9</c:v>
                </c:pt>
                <c:pt idx="1">
                  <c:v>6.3</c:v>
                </c:pt>
                <c:pt idx="2">
                  <c:v>6.3</c:v>
                </c:pt>
              </c:numCache>
            </c:numRef>
          </c:val>
        </c:ser>
        <c:dLbls>
          <c:showVal val="1"/>
        </c:dLbls>
        <c:axId val="117119616"/>
        <c:axId val="119513472"/>
      </c:barChart>
      <c:catAx>
        <c:axId val="117119616"/>
        <c:scaling>
          <c:orientation val="minMax"/>
        </c:scaling>
        <c:axPos val="b"/>
        <c:numFmt formatCode="General" sourceLinked="0"/>
        <c:majorTickMark val="none"/>
        <c:tickLblPos val="nextTo"/>
        <c:crossAx val="119513472"/>
        <c:crosses val="autoZero"/>
        <c:auto val="1"/>
        <c:lblAlgn val="ctr"/>
        <c:lblOffset val="100"/>
      </c:catAx>
      <c:valAx>
        <c:axId val="1195134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711961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удовлетворенности стоимостью,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качеством и доступностью предоставляемых услуг финансовыми организациями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44821232468640804"/>
          <c:y val="0.22560297036041227"/>
          <c:w val="0.55178767531360062"/>
          <c:h val="0.73862467191601699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Стоимость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Брокеры 2022</c:v>
                </c:pt>
                <c:pt idx="1">
                  <c:v>Брокеры 2023</c:v>
                </c:pt>
                <c:pt idx="2">
                  <c:v>Негосударственные пенсионные фонды 2022</c:v>
                </c:pt>
                <c:pt idx="3">
                  <c:v>Негосударственные пенсионные фонды 2023</c:v>
                </c:pt>
                <c:pt idx="4">
                  <c:v>Сельскохозяйственные кредитные потребительские кооперативы 2022</c:v>
                </c:pt>
                <c:pt idx="5">
                  <c:v>Сельскохозяйственные кредитные потребительские кооперативы 2023</c:v>
                </c:pt>
                <c:pt idx="6">
                  <c:v>Субъекты страхового дела 2022</c:v>
                </c:pt>
                <c:pt idx="7">
                  <c:v>Субъекты страхового дела 2023</c:v>
                </c:pt>
                <c:pt idx="8">
                  <c:v>Ломбарды 2022</c:v>
                </c:pt>
                <c:pt idx="9">
                  <c:v>Ломбарды 2023</c:v>
                </c:pt>
                <c:pt idx="10">
                  <c:v>Кредитные потребительские кооперативы 2022</c:v>
                </c:pt>
                <c:pt idx="11">
                  <c:v>Кредитные потребительские кооперативы 2023</c:v>
                </c:pt>
                <c:pt idx="12">
                  <c:v>Микрофинансовые организации 2022</c:v>
                </c:pt>
                <c:pt idx="13">
                  <c:v>Микрофинансовые организации 2023</c:v>
                </c:pt>
                <c:pt idx="14">
                  <c:v>Банки 2022</c:v>
                </c:pt>
                <c:pt idx="15">
                  <c:v>Банки 2023</c:v>
                </c:pt>
              </c:strCache>
            </c:strRef>
          </c:cat>
          <c:val>
            <c:numRef>
              <c:f>Лист1!$B$2:$B$17</c:f>
              <c:numCache>
                <c:formatCode>0.0%</c:formatCode>
                <c:ptCount val="16"/>
                <c:pt idx="0">
                  <c:v>0.41700000000000004</c:v>
                </c:pt>
                <c:pt idx="1">
                  <c:v>0.35700000000000004</c:v>
                </c:pt>
                <c:pt idx="2">
                  <c:v>0.66700000000000015</c:v>
                </c:pt>
                <c:pt idx="3">
                  <c:v>0.6070000000000001</c:v>
                </c:pt>
                <c:pt idx="4">
                  <c:v>0.62500000000000011</c:v>
                </c:pt>
                <c:pt idx="5">
                  <c:v>0.66100000000000014</c:v>
                </c:pt>
                <c:pt idx="6">
                  <c:v>0.47900000000000004</c:v>
                </c:pt>
                <c:pt idx="7">
                  <c:v>0.51800000000000002</c:v>
                </c:pt>
                <c:pt idx="8">
                  <c:v>0.41700000000000004</c:v>
                </c:pt>
                <c:pt idx="9">
                  <c:v>0.35700000000000004</c:v>
                </c:pt>
                <c:pt idx="10">
                  <c:v>0.33300000000000007</c:v>
                </c:pt>
                <c:pt idx="11">
                  <c:v>0.37500000000000006</c:v>
                </c:pt>
                <c:pt idx="12">
                  <c:v>0.35400000000000004</c:v>
                </c:pt>
                <c:pt idx="13">
                  <c:v>0.4290000000000001</c:v>
                </c:pt>
                <c:pt idx="14">
                  <c:v>0.37500000000000006</c:v>
                </c:pt>
                <c:pt idx="15">
                  <c:v>0.44600000000000001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03-448E-8131-E4831940EB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Брокеры 2022</c:v>
                </c:pt>
                <c:pt idx="1">
                  <c:v>Брокеры 2023</c:v>
                </c:pt>
                <c:pt idx="2">
                  <c:v>Негосударственные пенсионные фонды 2022</c:v>
                </c:pt>
                <c:pt idx="3">
                  <c:v>Негосударственные пенсионные фонды 2023</c:v>
                </c:pt>
                <c:pt idx="4">
                  <c:v>Сельскохозяйственные кредитные потребительские кооперативы 2022</c:v>
                </c:pt>
                <c:pt idx="5">
                  <c:v>Сельскохозяйственные кредитные потребительские кооперативы 2023</c:v>
                </c:pt>
                <c:pt idx="6">
                  <c:v>Субъекты страхового дела 2022</c:v>
                </c:pt>
                <c:pt idx="7">
                  <c:v>Субъекты страхового дела 2023</c:v>
                </c:pt>
                <c:pt idx="8">
                  <c:v>Ломбарды 2022</c:v>
                </c:pt>
                <c:pt idx="9">
                  <c:v>Ломбарды 2023</c:v>
                </c:pt>
                <c:pt idx="10">
                  <c:v>Кредитные потребительские кооперативы 2022</c:v>
                </c:pt>
                <c:pt idx="11">
                  <c:v>Кредитные потребительские кооперативы 2023</c:v>
                </c:pt>
                <c:pt idx="12">
                  <c:v>Микрофинансовые организации 2022</c:v>
                </c:pt>
                <c:pt idx="13">
                  <c:v>Микрофинансовые организации 2023</c:v>
                </c:pt>
                <c:pt idx="14">
                  <c:v>Банки 2022</c:v>
                </c:pt>
                <c:pt idx="15">
                  <c:v>Банки 2023</c:v>
                </c:pt>
              </c:strCache>
            </c:strRef>
          </c:cat>
          <c:val>
            <c:numRef>
              <c:f>Лист1!$C$2:$C$17</c:f>
              <c:numCache>
                <c:formatCode>0.0%</c:formatCode>
                <c:ptCount val="16"/>
                <c:pt idx="0">
                  <c:v>0.41700000000000004</c:v>
                </c:pt>
                <c:pt idx="1">
                  <c:v>0.35700000000000004</c:v>
                </c:pt>
                <c:pt idx="2">
                  <c:v>0.70800000000000007</c:v>
                </c:pt>
                <c:pt idx="3">
                  <c:v>0.64300000000000013</c:v>
                </c:pt>
                <c:pt idx="4">
                  <c:v>0.58299999999999996</c:v>
                </c:pt>
                <c:pt idx="5">
                  <c:v>0.6070000000000001</c:v>
                </c:pt>
                <c:pt idx="6">
                  <c:v>0.62500000000000011</c:v>
                </c:pt>
                <c:pt idx="7">
                  <c:v>0.66100000000000014</c:v>
                </c:pt>
                <c:pt idx="8">
                  <c:v>0.58299999999999996</c:v>
                </c:pt>
                <c:pt idx="9">
                  <c:v>0.5</c:v>
                </c:pt>
                <c:pt idx="10">
                  <c:v>0.58299999999999996</c:v>
                </c:pt>
                <c:pt idx="11">
                  <c:v>0.53600000000000003</c:v>
                </c:pt>
                <c:pt idx="12">
                  <c:v>0.62500000000000011</c:v>
                </c:pt>
                <c:pt idx="13">
                  <c:v>0.6070000000000001</c:v>
                </c:pt>
                <c:pt idx="14">
                  <c:v>0.62500000000000011</c:v>
                </c:pt>
                <c:pt idx="15">
                  <c:v>0.66100000000000014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03-448E-8131-E4831940EB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Доступность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Брокеры 2022</c:v>
                </c:pt>
                <c:pt idx="1">
                  <c:v>Брокеры 2023</c:v>
                </c:pt>
                <c:pt idx="2">
                  <c:v>Негосударственные пенсионные фонды 2022</c:v>
                </c:pt>
                <c:pt idx="3">
                  <c:v>Негосударственные пенсионные фонды 2023</c:v>
                </c:pt>
                <c:pt idx="4">
                  <c:v>Сельскохозяйственные кредитные потребительские кооперативы 2022</c:v>
                </c:pt>
                <c:pt idx="5">
                  <c:v>Сельскохозяйственные кредитные потребительские кооперативы 2023</c:v>
                </c:pt>
                <c:pt idx="6">
                  <c:v>Субъекты страхового дела 2022</c:v>
                </c:pt>
                <c:pt idx="7">
                  <c:v>Субъекты страхового дела 2023</c:v>
                </c:pt>
                <c:pt idx="8">
                  <c:v>Ломбарды 2022</c:v>
                </c:pt>
                <c:pt idx="9">
                  <c:v>Ломбарды 2023</c:v>
                </c:pt>
                <c:pt idx="10">
                  <c:v>Кредитные потребительские кооперативы 2022</c:v>
                </c:pt>
                <c:pt idx="11">
                  <c:v>Кредитные потребительские кооперативы 2023</c:v>
                </c:pt>
                <c:pt idx="12">
                  <c:v>Микрофинансовые организации 2022</c:v>
                </c:pt>
                <c:pt idx="13">
                  <c:v>Микрофинансовые организации 2023</c:v>
                </c:pt>
                <c:pt idx="14">
                  <c:v>Банки 2022</c:v>
                </c:pt>
                <c:pt idx="15">
                  <c:v>Банки 2023</c:v>
                </c:pt>
              </c:strCache>
            </c:strRef>
          </c:cat>
          <c:val>
            <c:numRef>
              <c:f>Лист1!$D$2:$D$17</c:f>
              <c:numCache>
                <c:formatCode>0.0%</c:formatCode>
                <c:ptCount val="16"/>
                <c:pt idx="0">
                  <c:v>0.41700000000000004</c:v>
                </c:pt>
                <c:pt idx="1">
                  <c:v>0.35700000000000004</c:v>
                </c:pt>
                <c:pt idx="2">
                  <c:v>0.70800000000000007</c:v>
                </c:pt>
                <c:pt idx="3">
                  <c:v>0.6070000000000001</c:v>
                </c:pt>
                <c:pt idx="4">
                  <c:v>0.58299999999999996</c:v>
                </c:pt>
                <c:pt idx="5">
                  <c:v>0.55400000000000005</c:v>
                </c:pt>
                <c:pt idx="6">
                  <c:v>0.77100000000000013</c:v>
                </c:pt>
                <c:pt idx="7">
                  <c:v>0.66100000000000014</c:v>
                </c:pt>
                <c:pt idx="8">
                  <c:v>0.64600000000000013</c:v>
                </c:pt>
                <c:pt idx="9">
                  <c:v>0.6070000000000001</c:v>
                </c:pt>
                <c:pt idx="10">
                  <c:v>0.75000000000000011</c:v>
                </c:pt>
                <c:pt idx="11">
                  <c:v>0.67900000000000016</c:v>
                </c:pt>
                <c:pt idx="12">
                  <c:v>0.64600000000000013</c:v>
                </c:pt>
                <c:pt idx="13">
                  <c:v>0.6070000000000001</c:v>
                </c:pt>
                <c:pt idx="14">
                  <c:v>0.64600000000000013</c:v>
                </c:pt>
                <c:pt idx="15">
                  <c:v>0.66100000000000014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03-448E-8131-E4831940EB2F}"/>
            </c:ext>
          </c:extLst>
        </c:ser>
        <c:gapWidth val="95"/>
        <c:overlap val="100"/>
        <c:axId val="119409280"/>
        <c:axId val="119419264"/>
      </c:barChart>
      <c:catAx>
        <c:axId val="119409280"/>
        <c:scaling>
          <c:orientation val="minMax"/>
        </c:scaling>
        <c:axPos val="l"/>
        <c:min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19419264"/>
        <c:crosses val="autoZero"/>
        <c:auto val="1"/>
        <c:lblAlgn val="ctr"/>
        <c:lblOffset val="100"/>
      </c:catAx>
      <c:valAx>
        <c:axId val="119419264"/>
        <c:scaling>
          <c:orientation val="minMax"/>
        </c:scaling>
        <c:delete val="1"/>
        <c:axPos val="b"/>
        <c:numFmt formatCode="0.0%" sourceLinked="1"/>
        <c:tickLblPos val="none"/>
        <c:crossAx val="11940928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Имеется сейчас или использовались последние 12 месяцев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,5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13,8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6,3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6"/>
              <c:layout>
                <c:manualLayout>
                  <c:x val="5.9366637859293095E-2"/>
                  <c:y val="-6.50365501832931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16,3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37,5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Лист1!$A$2:$A$9</c:f>
              <c:strCache>
                <c:ptCount val="8"/>
                <c:pt idx="0">
                  <c:v>Вложение средств в паевой инвестиционный фонд</c:v>
                </c:pt>
                <c:pt idx="1">
                  <c:v>Брокерский счет</c:v>
                </c:pt>
                <c:pt idx="2">
                  <c:v>Инвестиционное страхование жизни</c:v>
                </c:pt>
                <c:pt idx="3">
                  <c:v>Индивидуальный инвестиционный счет</c:v>
                </c:pt>
                <c:pt idx="4">
                  <c:v>Договор на размещение средств в форме займа в С/Х кредитном потребительском кооперативе</c:v>
                </c:pt>
                <c:pt idx="5">
                  <c:v>Договор на размещение средств в форме займа в кредитном потребительском кооперативе</c:v>
                </c:pt>
                <c:pt idx="6">
                  <c:v>Договор на размещение средств в форме займа в микрофинансовой организации</c:v>
                </c:pt>
                <c:pt idx="7">
                  <c:v>Банковский вклад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2.1000000000000005E-2</c:v>
                </c:pt>
                <c:pt idx="1">
                  <c:v>5.3000000000000005E-2</c:v>
                </c:pt>
                <c:pt idx="2">
                  <c:v>0.13200000000000001</c:v>
                </c:pt>
                <c:pt idx="3">
                  <c:v>0.10600000000000001</c:v>
                </c:pt>
                <c:pt idx="4">
                  <c:v>0.22800000000000001</c:v>
                </c:pt>
                <c:pt idx="5">
                  <c:v>0.17</c:v>
                </c:pt>
                <c:pt idx="6">
                  <c:v>0.15200000000000002</c:v>
                </c:pt>
                <c:pt idx="7">
                  <c:v>0.34900000000000003</c:v>
                </c:pt>
              </c:numCache>
            </c:numRef>
          </c:val>
        </c:ser>
        <c:ser>
          <c:idx val="1"/>
          <c:order val="1"/>
          <c:explosion val="25"/>
          <c:dLbls>
            <c:showPercent val="1"/>
          </c:dLbls>
          <c:cat>
            <c:strRef>
              <c:f>Лист1!$A$2:$A$9</c:f>
              <c:strCache>
                <c:ptCount val="8"/>
                <c:pt idx="0">
                  <c:v>Вложение средств в паевой инвестиционный фонд</c:v>
                </c:pt>
                <c:pt idx="1">
                  <c:v>Брокерский счет</c:v>
                </c:pt>
                <c:pt idx="2">
                  <c:v>Инвестиционное страхование жизни</c:v>
                </c:pt>
                <c:pt idx="3">
                  <c:v>Индивидуальный инвестиционный счет</c:v>
                </c:pt>
                <c:pt idx="4">
                  <c:v>Договор на размещение средств в форме займа в С/Х кредитном потребительском кооперативе</c:v>
                </c:pt>
                <c:pt idx="5">
                  <c:v>Договор на размещение средств в форме займа в кредитном потребительском кооперативе</c:v>
                </c:pt>
                <c:pt idx="6">
                  <c:v>Договор на размещение средств в форме займа в микрофинансовой организации</c:v>
                </c:pt>
                <c:pt idx="7">
                  <c:v>Банковский вклад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explosion val="25"/>
          <c:dLbls>
            <c:showPercent val="1"/>
          </c:dLbls>
          <c:cat>
            <c:strRef>
              <c:f>Лист1!$A$2:$A$9</c:f>
              <c:strCache>
                <c:ptCount val="8"/>
                <c:pt idx="0">
                  <c:v>Вложение средств в паевой инвестиционный фонд</c:v>
                </c:pt>
                <c:pt idx="1">
                  <c:v>Брокерский счет</c:v>
                </c:pt>
                <c:pt idx="2">
                  <c:v>Инвестиционное страхование жизни</c:v>
                </c:pt>
                <c:pt idx="3">
                  <c:v>Индивидуальный инвестиционный счет</c:v>
                </c:pt>
                <c:pt idx="4">
                  <c:v>Договор на размещение средств в форме займа в С/Х кредитном потребительском кооперативе</c:v>
                </c:pt>
                <c:pt idx="5">
                  <c:v>Договор на размещение средств в форме займа в кредитном потребительском кооперативе</c:v>
                </c:pt>
                <c:pt idx="6">
                  <c:v>Договор на размещение средств в форме займа в микрофинансовой организации</c:v>
                </c:pt>
                <c:pt idx="7">
                  <c:v>Банковский вклад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услуг дополнительного образования в сравнении с прошлым годом, %</a:t>
            </a:r>
          </a:p>
          <a:p>
            <a:pPr>
              <a:defRPr sz="900"/>
            </a:pPr>
            <a:endParaRPr lang="ru-RU" sz="90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61.9</c:v>
                </c:pt>
                <c:pt idx="1">
                  <c:v>69.3</c:v>
                </c:pt>
                <c:pt idx="2">
                  <c:v>69.3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69.599999999999994</c:v>
                </c:pt>
                <c:pt idx="2">
                  <c:v>68.8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32.200000000000003</c:v>
                </c:pt>
                <c:pt idx="1">
                  <c:v>26.5</c:v>
                </c:pt>
                <c:pt idx="2">
                  <c:v>26.2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29.6</c:v>
                </c:pt>
                <c:pt idx="1">
                  <c:v>28.2</c:v>
                </c:pt>
                <c:pt idx="2">
                  <c:v>25.7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5.9</c:v>
                </c:pt>
                <c:pt idx="1">
                  <c:v>2.5</c:v>
                </c:pt>
                <c:pt idx="2">
                  <c:v>4.5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6.3</c:v>
                </c:pt>
                <c:pt idx="1">
                  <c:v>4</c:v>
                </c:pt>
                <c:pt idx="2">
                  <c:v>5.5</c:v>
                </c:pt>
              </c:numCache>
            </c:numRef>
          </c:val>
        </c:ser>
        <c:dLbls>
          <c:showVal val="1"/>
        </c:dLbls>
        <c:axId val="120101888"/>
        <c:axId val="120529664"/>
      </c:barChart>
      <c:catAx>
        <c:axId val="120101888"/>
        <c:scaling>
          <c:orientation val="minMax"/>
        </c:scaling>
        <c:axPos val="b"/>
        <c:numFmt formatCode="General" sourceLinked="0"/>
        <c:majorTickMark val="none"/>
        <c:tickLblPos val="nextTo"/>
        <c:crossAx val="120529664"/>
        <c:crosses val="autoZero"/>
        <c:auto val="1"/>
        <c:lblAlgn val="ctr"/>
        <c:lblOffset val="100"/>
      </c:catAx>
      <c:valAx>
        <c:axId val="12052966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010188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услуг дестского отдыха и оздоровления в сравнении с прошлым годом, %</a:t>
            </a:r>
          </a:p>
          <a:p>
            <a:pPr>
              <a:defRPr sz="900"/>
            </a:pPr>
            <a:endParaRPr lang="ru-RU" sz="90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67.3</c:v>
                </c:pt>
                <c:pt idx="1">
                  <c:v>53.5</c:v>
                </c:pt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67.599999999999994</c:v>
                </c:pt>
                <c:pt idx="1">
                  <c:v>68</c:v>
                </c:pt>
                <c:pt idx="2">
                  <c:v>49.8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25.7</c:v>
                </c:pt>
                <c:pt idx="1">
                  <c:v>40.6</c:v>
                </c:pt>
                <c:pt idx="2">
                  <c:v>44.1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25.3</c:v>
                </c:pt>
                <c:pt idx="1">
                  <c:v>24.5</c:v>
                </c:pt>
                <c:pt idx="2">
                  <c:v>43.1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6.9</c:v>
                </c:pt>
                <c:pt idx="1">
                  <c:v>5.9</c:v>
                </c:pt>
                <c:pt idx="2">
                  <c:v>6.9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7.1</c:v>
                </c:pt>
                <c:pt idx="1">
                  <c:v>7.5</c:v>
                </c:pt>
                <c:pt idx="2">
                  <c:v>6.7</c:v>
                </c:pt>
              </c:numCache>
            </c:numRef>
          </c:val>
        </c:ser>
        <c:dLbls>
          <c:showVal val="1"/>
        </c:dLbls>
        <c:axId val="120573312"/>
        <c:axId val="120796288"/>
      </c:barChart>
      <c:catAx>
        <c:axId val="120573312"/>
        <c:scaling>
          <c:orientation val="minMax"/>
        </c:scaling>
        <c:axPos val="b"/>
        <c:numFmt formatCode="General" sourceLinked="0"/>
        <c:majorTickMark val="none"/>
        <c:tickLblPos val="nextTo"/>
        <c:crossAx val="120796288"/>
        <c:crosses val="autoZero"/>
        <c:auto val="1"/>
        <c:lblAlgn val="ctr"/>
        <c:lblOffset val="100"/>
      </c:catAx>
      <c:valAx>
        <c:axId val="1207962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057331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медецинских услуг в сравнении с прошлым годом, %</a:t>
            </a:r>
          </a:p>
          <a:p>
            <a:pPr>
              <a:defRPr sz="900"/>
            </a:pPr>
            <a:endParaRPr lang="ru-RU" sz="90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58.4</c:v>
                </c:pt>
                <c:pt idx="1">
                  <c:v>52</c:v>
                </c:pt>
                <c:pt idx="2">
                  <c:v>70.8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56.9</c:v>
                </c:pt>
                <c:pt idx="1">
                  <c:v>50.6</c:v>
                </c:pt>
                <c:pt idx="2">
                  <c:v>74.3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51.6</c:v>
                </c:pt>
                <c:pt idx="1">
                  <c:v>41.6</c:v>
                </c:pt>
                <c:pt idx="2">
                  <c:v>22.8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36</c:v>
                </c:pt>
                <c:pt idx="1">
                  <c:v>41.9</c:v>
                </c:pt>
                <c:pt idx="2">
                  <c:v>18.2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7.4</c:v>
                </c:pt>
                <c:pt idx="1">
                  <c:v>6.4</c:v>
                </c:pt>
                <c:pt idx="2">
                  <c:v>6.4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7.1</c:v>
                </c:pt>
                <c:pt idx="1">
                  <c:v>7.5</c:v>
                </c:pt>
                <c:pt idx="2">
                  <c:v>7.5</c:v>
                </c:pt>
              </c:numCache>
            </c:numRef>
          </c:val>
        </c:ser>
        <c:dLbls>
          <c:showVal val="1"/>
        </c:dLbls>
        <c:axId val="120942592"/>
        <c:axId val="120944128"/>
      </c:barChart>
      <c:catAx>
        <c:axId val="120942592"/>
        <c:scaling>
          <c:orientation val="minMax"/>
        </c:scaling>
        <c:axPos val="b"/>
        <c:numFmt formatCode="General" sourceLinked="0"/>
        <c:majorTickMark val="none"/>
        <c:tickLblPos val="nextTo"/>
        <c:crossAx val="120944128"/>
        <c:crosses val="autoZero"/>
        <c:auto val="1"/>
        <c:lblAlgn val="ctr"/>
        <c:lblOffset val="100"/>
      </c:catAx>
      <c:valAx>
        <c:axId val="1209441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094259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Количество опрошенных </a:t>
            </a:r>
            <a:r>
              <a:rPr lang="ru-RU" sz="900" baseline="0"/>
              <a:t> респондентов давших определённую оценку </a:t>
            </a:r>
            <a:r>
              <a:rPr lang="ru-RU" sz="900"/>
              <a:t>в отношении ценообразования, качества и возможности выбора на</a:t>
            </a:r>
            <a:r>
              <a:rPr lang="ru-RU" sz="900" baseline="0"/>
              <a:t> рынке розничной торговли лекарственными препаратами, медицинскими изделиями  и сопутствующими товарами в сравнении с прошлым годом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удовлетворен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56.4</c:v>
                </c:pt>
                <c:pt idx="1">
                  <c:v>63.9</c:v>
                </c:pt>
                <c:pt idx="2">
                  <c:v>77.7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222-8F48-33C000480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удовлетворен2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56.1</c:v>
                </c:pt>
                <c:pt idx="1">
                  <c:v>82.2</c:v>
                </c:pt>
                <c:pt idx="2">
                  <c:v>85.8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222-8F48-33C000480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не удовлетворен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36.700000000000003</c:v>
                </c:pt>
                <c:pt idx="1">
                  <c:v>32.200000000000003</c:v>
                </c:pt>
                <c:pt idx="2">
                  <c:v>19.3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не удовлетворен2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37.200000000000003</c:v>
                </c:pt>
                <c:pt idx="1">
                  <c:v>11.9</c:v>
                </c:pt>
                <c:pt idx="2">
                  <c:v>10.3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затрудняюсь ответить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6.9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 затрудняюсь ответить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6.7</c:v>
                </c:pt>
                <c:pt idx="1">
                  <c:v>5.9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axId val="121406208"/>
        <c:axId val="121407744"/>
      </c:barChart>
      <c:catAx>
        <c:axId val="121406208"/>
        <c:scaling>
          <c:orientation val="minMax"/>
        </c:scaling>
        <c:axPos val="b"/>
        <c:numFmt formatCode="General" sourceLinked="0"/>
        <c:majorTickMark val="none"/>
        <c:tickLblPos val="nextTo"/>
        <c:crossAx val="121407744"/>
        <c:crosses val="autoZero"/>
        <c:auto val="1"/>
        <c:lblAlgn val="ctr"/>
        <c:lblOffset val="100"/>
      </c:catAx>
      <c:valAx>
        <c:axId val="1214077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140620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3945-D544-4FC1-B028-86C1A40B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8513</Words>
  <Characters>48529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Старшему помощнику прокурора</vt:lpstr>
    </vt:vector>
  </TitlesOfParts>
  <Company>Минэк</Company>
  <LinksUpToDate>false</LinksUpToDate>
  <CharactersWithSpaces>56929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Старшему помощнику прокурора</dc:title>
  <dc:creator>u533-1-1</dc:creator>
  <cp:lastModifiedBy>Ermskova</cp:lastModifiedBy>
  <cp:revision>7</cp:revision>
  <cp:lastPrinted>2022-11-28T12:48:00Z</cp:lastPrinted>
  <dcterms:created xsi:type="dcterms:W3CDTF">2023-12-06T13:49:00Z</dcterms:created>
  <dcterms:modified xsi:type="dcterms:W3CDTF">2023-12-07T07:51:00Z</dcterms:modified>
</cp:coreProperties>
</file>