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64080" cy="756285"/>
                <wp:effectExtent l="0" t="0" r="7620" b="5715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64080" cy="756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70.40pt;height:59.55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r>
    </w:p>
    <w:p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r>
    </w:p>
    <w:p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Пресс-релиз.</w:t>
      </w:r>
      <w:bookmarkStart w:id="0" w:name="_GoBack"/>
      <w:r/>
      <w:bookmarkEnd w:id="0"/>
      <w: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Банкротство в цифрах.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r>
    </w:p>
    <w:p>
      <w:pPr>
        <w:contextualSpacing/>
        <w:ind w:firstLine="708"/>
        <w:jc w:val="both"/>
        <w:spacing w:line="240" w:lineRule="auto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</w:rPr>
        <w:t xml:space="preserve">Декабрь – прекрасное время подвести итоги уходящего года. Каким был 2024 год в сфере несостоятельности (банкротства)  на территории Ставропольского края расскажем </w:t>
      </w:r>
      <w:r>
        <w:rPr>
          <w:rFonts w:ascii="Tinos" w:hAnsi="Tinos" w:eastAsia="Tinos" w:cs="Tinos"/>
          <w:sz w:val="28"/>
          <w:szCs w:val="28"/>
        </w:rPr>
        <w:t xml:space="preserve">в цифрах</w:t>
      </w:r>
      <w:r>
        <w:rPr>
          <w:rFonts w:ascii="Tinos" w:hAnsi="Tinos" w:eastAsia="Tinos" w:cs="Tinos"/>
          <w:sz w:val="28"/>
          <w:szCs w:val="28"/>
        </w:rPr>
        <w:t xml:space="preserve"> в настоящей статье.</w:t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line="240" w:lineRule="auto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  <w:t xml:space="preserve">В текущем году прошли обучение по единой программе подготовки арбитражных управляющих и успешно сдали теоретический экзамен </w:t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  <w:t xml:space="preserve">16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 человек.</w:t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line="240" w:lineRule="auto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  <w:t xml:space="preserve">В процедурах банкротства юридических лиц арбитражными управляющими погашена задолженность по заработной плате перед работниками предприятий на общую сумму </w:t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  <w:t xml:space="preserve">4,6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 млн рублей.</w:t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line="240" w:lineRule="auto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  <w:t xml:space="preserve">По данным Единого федерального реестра сведений о банкротстве: </w:t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  <w:highlight w:val="none"/>
        </w:rPr>
      </w:r>
    </w:p>
    <w:p>
      <w:pPr>
        <w:pStyle w:val="688"/>
        <w:numPr>
          <w:ilvl w:val="0"/>
          <w:numId w:val="1"/>
        </w:numPr>
        <w:contextualSpacing/>
        <w:jc w:val="both"/>
        <w:spacing w:line="240" w:lineRule="auto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b/>
          <w:bCs/>
          <w:sz w:val="28"/>
          <w:szCs w:val="28"/>
          <w:highlight w:val="none"/>
        </w:rPr>
        <w:t xml:space="preserve">49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 процедур наблюдения введено в отношении должников-юридических лиц;</w:t>
      </w:r>
      <w:r>
        <w:rPr>
          <w:rFonts w:ascii="Tinos" w:hAnsi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  <w:highlight w:val="none"/>
        </w:rPr>
      </w:r>
    </w:p>
    <w:p>
      <w:pPr>
        <w:pStyle w:val="688"/>
        <w:numPr>
          <w:ilvl w:val="0"/>
          <w:numId w:val="1"/>
        </w:numPr>
        <w:contextualSpacing/>
        <w:jc w:val="both"/>
        <w:spacing w:line="240" w:lineRule="auto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b/>
          <w:bCs/>
          <w:sz w:val="28"/>
          <w:szCs w:val="28"/>
          <w:highlight w:val="none"/>
        </w:rPr>
        <w:t xml:space="preserve">67 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юридических лиц признаны банкротами, открыто конкурсное производство;</w:t>
      </w:r>
      <w:r>
        <w:rPr>
          <w:rFonts w:ascii="Tinos" w:hAnsi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  <w:highlight w:val="none"/>
        </w:rPr>
      </w:r>
    </w:p>
    <w:p>
      <w:pPr>
        <w:pStyle w:val="688"/>
        <w:numPr>
          <w:ilvl w:val="0"/>
          <w:numId w:val="1"/>
        </w:numPr>
        <w:contextualSpacing/>
        <w:jc w:val="both"/>
        <w:spacing w:line="240" w:lineRule="auto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  <w:t xml:space="preserve">в отношении </w:t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  <w:t xml:space="preserve">197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 граждан введена процедура реструктуризации долгов;</w:t>
      </w:r>
      <w:r>
        <w:rPr>
          <w:rFonts w:ascii="Tinos" w:hAnsi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  <w:highlight w:val="none"/>
        </w:rPr>
      </w:r>
    </w:p>
    <w:p>
      <w:pPr>
        <w:pStyle w:val="688"/>
        <w:numPr>
          <w:ilvl w:val="0"/>
          <w:numId w:val="1"/>
        </w:numPr>
        <w:contextualSpacing/>
        <w:jc w:val="both"/>
        <w:spacing w:line="240" w:lineRule="auto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</w:rPr>
        <w:t xml:space="preserve">более</w:t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  <w:highlight w:val="none"/>
        </w:rPr>
        <w:t xml:space="preserve"> 8700</w:t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граждан признаны банкротами, введена процедура реализации имущества;</w:t>
      </w:r>
      <w:r>
        <w:rPr>
          <w:rFonts w:ascii="Tinos" w:hAnsi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  <w:highlight w:val="none"/>
        </w:rPr>
      </w:r>
    </w:p>
    <w:p>
      <w:pPr>
        <w:pStyle w:val="688"/>
        <w:numPr>
          <w:ilvl w:val="0"/>
          <w:numId w:val="1"/>
        </w:numPr>
        <w:contextualSpacing/>
        <w:jc w:val="both"/>
        <w:spacing w:line="240" w:lineRule="auto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b/>
          <w:bCs/>
          <w:sz w:val="28"/>
          <w:szCs w:val="28"/>
          <w:highlight w:val="none"/>
        </w:rPr>
        <w:t xml:space="preserve">41 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процедура конкурсного производства завершена;</w:t>
      </w:r>
      <w:r>
        <w:rPr>
          <w:rFonts w:ascii="Tinos" w:hAnsi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  <w:highlight w:val="none"/>
        </w:rPr>
      </w:r>
    </w:p>
    <w:p>
      <w:pPr>
        <w:pStyle w:val="688"/>
        <w:numPr>
          <w:ilvl w:val="0"/>
          <w:numId w:val="1"/>
        </w:numPr>
        <w:contextualSpacing/>
        <w:jc w:val="both"/>
        <w:spacing w:line="240" w:lineRule="auto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  <w:t xml:space="preserve">в отношении </w:t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  <w:t xml:space="preserve">6940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 граждан завершена процедура банкротства, из них в отношении </w:t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  <w:t xml:space="preserve">3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 граждан судом не применено правило освобождения должника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от дальнейшего исполнения требований кредиторов;</w:t>
      </w:r>
      <w:r>
        <w:rPr>
          <w:rFonts w:ascii="Tinos" w:hAnsi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  <w:highlight w:val="none"/>
        </w:rPr>
      </w:r>
    </w:p>
    <w:p>
      <w:pPr>
        <w:pStyle w:val="688"/>
        <w:numPr>
          <w:ilvl w:val="0"/>
          <w:numId w:val="1"/>
        </w:numPr>
        <w:contextualSpacing/>
        <w:jc w:val="both"/>
        <w:spacing w:line="240" w:lineRule="auto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  <w:t xml:space="preserve">арбитражными управляющими назначено 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более </w:t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  <w:t xml:space="preserve">2030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 собраний кредиторов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в процедурах банкротства граждан и юридических лиц;</w:t>
      </w:r>
      <w:r>
        <w:rPr>
          <w:rFonts w:ascii="Tinos" w:hAnsi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  <w:highlight w:val="none"/>
        </w:rPr>
      </w:r>
    </w:p>
    <w:p>
      <w:pPr>
        <w:pStyle w:val="688"/>
        <w:numPr>
          <w:ilvl w:val="0"/>
          <w:numId w:val="1"/>
        </w:numPr>
        <w:contextualSpacing/>
        <w:jc w:val="both"/>
        <w:spacing w:line="240" w:lineRule="auto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b/>
          <w:bCs/>
          <w:sz w:val="28"/>
          <w:szCs w:val="28"/>
          <w:highlight w:val="none"/>
        </w:rPr>
        <w:t xml:space="preserve">968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 граждан воспользовались процедурой внесудебного банкротства, в отношении </w:t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  <w:t xml:space="preserve">686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 физических лиц данная процедура успешно завершена. При этом количество внесудебных банкротств в 2024 году превысило данный показатель 2023 года более чем в </w:t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  <w:t xml:space="preserve">2,5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 раза!</w:t>
      </w:r>
      <w:r>
        <w:rPr>
          <w:rFonts w:ascii="Tinos" w:hAnsi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contextualSpacing/>
        <w:ind w:left="0" w:firstLine="708"/>
        <w:jc w:val="both"/>
        <w:spacing w:line="240" w:lineRule="auto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  <w:t xml:space="preserve">Текущий год отмечен ростом числа банкротств граждан как в судебном, так и во внесудебном порядке. Сохранится ли данная тенденция в будущем году, покажет время – рассказали в Управлении Росреестра по Ставропольскому краю.</w:t>
      </w:r>
      <w:r>
        <w:rPr>
          <w:rFonts w:ascii="Tinos" w:hAnsi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  <w:highlight w:val="none"/>
        </w:rPr>
      </w:r>
    </w:p>
    <w:p>
      <w:pPr>
        <w:contextualSpacing/>
        <w:jc w:val="both"/>
        <w:spacing w:line="240" w:lineRule="auto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  <w:highlight w:val="none"/>
        </w:rPr>
      </w:r>
    </w:p>
    <w:p>
      <w:pPr>
        <w:ind w:firstLine="708"/>
        <w:jc w:val="both"/>
        <w:spacing w:after="375" w:line="298" w:lineRule="atLeast"/>
        <w:shd w:val="clear" w:color="auto" w:fill="ffffff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Times New Roman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48"/>
    <w:next w:val="848"/>
    <w:link w:val="67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1">
    <w:name w:val="Heading 1 Char"/>
    <w:basedOn w:val="849"/>
    <w:link w:val="670"/>
    <w:uiPriority w:val="9"/>
    <w:rPr>
      <w:rFonts w:ascii="Arial" w:hAnsi="Arial" w:eastAsia="Arial" w:cs="Arial"/>
      <w:sz w:val="40"/>
      <w:szCs w:val="40"/>
    </w:rPr>
  </w:style>
  <w:style w:type="paragraph" w:styleId="672">
    <w:name w:val="Heading 2"/>
    <w:basedOn w:val="848"/>
    <w:next w:val="848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3">
    <w:name w:val="Heading 2 Char"/>
    <w:basedOn w:val="849"/>
    <w:link w:val="672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48"/>
    <w:next w:val="848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basedOn w:val="849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48"/>
    <w:next w:val="848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basedOn w:val="849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48"/>
    <w:next w:val="848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basedOn w:val="849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48"/>
    <w:next w:val="848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basedOn w:val="849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48"/>
    <w:next w:val="848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basedOn w:val="849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48"/>
    <w:next w:val="848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basedOn w:val="849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48"/>
    <w:next w:val="848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basedOn w:val="849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List Paragraph"/>
    <w:basedOn w:val="848"/>
    <w:uiPriority w:val="34"/>
    <w:qFormat/>
    <w:pPr>
      <w:contextualSpacing/>
      <w:ind w:left="720"/>
    </w:pPr>
  </w:style>
  <w:style w:type="paragraph" w:styleId="689">
    <w:name w:val="No Spacing"/>
    <w:uiPriority w:val="1"/>
    <w:qFormat/>
    <w:pPr>
      <w:spacing w:before="0" w:after="0" w:line="240" w:lineRule="auto"/>
    </w:pPr>
  </w:style>
  <w:style w:type="paragraph" w:styleId="690">
    <w:name w:val="Title"/>
    <w:basedOn w:val="848"/>
    <w:next w:val="848"/>
    <w:link w:val="69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1">
    <w:name w:val="Title Char"/>
    <w:basedOn w:val="849"/>
    <w:link w:val="690"/>
    <w:uiPriority w:val="10"/>
    <w:rPr>
      <w:sz w:val="48"/>
      <w:szCs w:val="48"/>
    </w:rPr>
  </w:style>
  <w:style w:type="paragraph" w:styleId="692">
    <w:name w:val="Subtitle"/>
    <w:basedOn w:val="848"/>
    <w:next w:val="848"/>
    <w:link w:val="693"/>
    <w:uiPriority w:val="11"/>
    <w:qFormat/>
    <w:pPr>
      <w:spacing w:before="200" w:after="200"/>
    </w:pPr>
    <w:rPr>
      <w:sz w:val="24"/>
      <w:szCs w:val="24"/>
    </w:rPr>
  </w:style>
  <w:style w:type="character" w:styleId="693">
    <w:name w:val="Subtitle Char"/>
    <w:basedOn w:val="849"/>
    <w:link w:val="692"/>
    <w:uiPriority w:val="11"/>
    <w:rPr>
      <w:sz w:val="24"/>
      <w:szCs w:val="24"/>
    </w:rPr>
  </w:style>
  <w:style w:type="paragraph" w:styleId="694">
    <w:name w:val="Quote"/>
    <w:basedOn w:val="848"/>
    <w:next w:val="848"/>
    <w:link w:val="695"/>
    <w:uiPriority w:val="29"/>
    <w:qFormat/>
    <w:pPr>
      <w:ind w:left="720" w:right="720"/>
    </w:pPr>
    <w:rPr>
      <w:i/>
    </w:rPr>
  </w:style>
  <w:style w:type="character" w:styleId="695">
    <w:name w:val="Quote Char"/>
    <w:link w:val="694"/>
    <w:uiPriority w:val="29"/>
    <w:rPr>
      <w:i/>
    </w:rPr>
  </w:style>
  <w:style w:type="paragraph" w:styleId="696">
    <w:name w:val="Intense Quote"/>
    <w:basedOn w:val="848"/>
    <w:next w:val="848"/>
    <w:link w:val="69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7">
    <w:name w:val="Intense Quote Char"/>
    <w:link w:val="696"/>
    <w:uiPriority w:val="30"/>
    <w:rPr>
      <w:i/>
    </w:rPr>
  </w:style>
  <w:style w:type="paragraph" w:styleId="698">
    <w:name w:val="Header"/>
    <w:basedOn w:val="848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Header Char"/>
    <w:basedOn w:val="849"/>
    <w:link w:val="698"/>
    <w:uiPriority w:val="99"/>
  </w:style>
  <w:style w:type="paragraph" w:styleId="700">
    <w:name w:val="Footer"/>
    <w:basedOn w:val="848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Footer Char"/>
    <w:basedOn w:val="849"/>
    <w:link w:val="700"/>
    <w:uiPriority w:val="99"/>
  </w:style>
  <w:style w:type="paragraph" w:styleId="702">
    <w:name w:val="Caption"/>
    <w:basedOn w:val="848"/>
    <w:next w:val="84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3">
    <w:name w:val="Caption Char"/>
    <w:basedOn w:val="702"/>
    <w:link w:val="700"/>
    <w:uiPriority w:val="99"/>
  </w:style>
  <w:style w:type="table" w:styleId="704">
    <w:name w:val="Table Grid"/>
    <w:basedOn w:val="85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Table Grid Light"/>
    <w:basedOn w:val="8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1"/>
    <w:basedOn w:val="8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basedOn w:val="85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>
    <w:name w:val="Grid Table 1 Light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4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>
    <w:name w:val="Grid Table 4 - Accent 1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4">
    <w:name w:val="Grid Table 4 - Accent 2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5">
    <w:name w:val="Grid Table 4 - Accent 3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6">
    <w:name w:val="Grid Table 4 - Accent 4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7">
    <w:name w:val="Grid Table 4 - Accent 5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8">
    <w:name w:val="Grid Table 4 - Accent 6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9">
    <w:name w:val="Grid Table 5 Dark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6">
    <w:name w:val="Grid Table 6 Colorful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7">
    <w:name w:val="Grid Table 6 Colorful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8">
    <w:name w:val="Grid Table 6 Colorful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9">
    <w:name w:val="Grid Table 6 Colorful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0">
    <w:name w:val="Grid Table 6 Colorful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1">
    <w:name w:val="Grid Table 6 Colorful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6 Colorful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7 Colorful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8">
    <w:name w:val="List Table 2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9">
    <w:name w:val="List Table 2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0">
    <w:name w:val="List Table 2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1">
    <w:name w:val="List Table 2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2">
    <w:name w:val="List Table 2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3">
    <w:name w:val="List Table 2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4">
    <w:name w:val="List Table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5 Dark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6 Colorful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6">
    <w:name w:val="List Table 6 Colorful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7">
    <w:name w:val="List Table 6 Colorful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8">
    <w:name w:val="List Table 6 Colorful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9">
    <w:name w:val="List Table 6 Colorful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0">
    <w:name w:val="List Table 6 Colorful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1">
    <w:name w:val="List Table 6 Colorful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2">
    <w:name w:val="List Table 7 Colorful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3">
    <w:name w:val="List Table 7 Colorful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4">
    <w:name w:val="List Table 7 Colorful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5">
    <w:name w:val="List Table 7 Colorful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6">
    <w:name w:val="List Table 7 Colorful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7">
    <w:name w:val="List Table 7 Colorful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8">
    <w:name w:val="List Table 7 Colorful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9">
    <w:name w:val="Lined - Accent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Lined - Accent 1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1">
    <w:name w:val="Lined - Accent 2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2">
    <w:name w:val="Lined - Accent 3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3">
    <w:name w:val="Lined - Accent 4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4">
    <w:name w:val="Lined - Accent 5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5">
    <w:name w:val="Lined - Accent 6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6">
    <w:name w:val="Bordered &amp; Lined - Accent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Bordered &amp; Lined - Accent 1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8">
    <w:name w:val="Bordered &amp; Lined - Accent 2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9">
    <w:name w:val="Bordered &amp; Lined - Accent 3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0">
    <w:name w:val="Bordered &amp; Lined - Accent 4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1">
    <w:name w:val="Bordered &amp; Lined - Accent 5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2">
    <w:name w:val="Bordered &amp; Lined - Accent 6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3">
    <w:name w:val="Bordered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4">
    <w:name w:val="Bordered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5">
    <w:name w:val="Bordered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6">
    <w:name w:val="Bordered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7">
    <w:name w:val="Bordered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8">
    <w:name w:val="Bordered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9">
    <w:name w:val="Bordered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0">
    <w:name w:val="Hyperlink"/>
    <w:uiPriority w:val="99"/>
    <w:unhideWhenUsed/>
    <w:rPr>
      <w:color w:val="0000ff" w:themeColor="hyperlink"/>
      <w:u w:val="single"/>
    </w:rPr>
  </w:style>
  <w:style w:type="paragraph" w:styleId="831">
    <w:name w:val="footnote text"/>
    <w:basedOn w:val="848"/>
    <w:link w:val="832"/>
    <w:uiPriority w:val="99"/>
    <w:semiHidden/>
    <w:unhideWhenUsed/>
    <w:pPr>
      <w:spacing w:after="40" w:line="240" w:lineRule="auto"/>
    </w:pPr>
    <w:rPr>
      <w:sz w:val="18"/>
    </w:rPr>
  </w:style>
  <w:style w:type="character" w:styleId="832">
    <w:name w:val="Footnote Text Char"/>
    <w:link w:val="831"/>
    <w:uiPriority w:val="99"/>
    <w:rPr>
      <w:sz w:val="18"/>
    </w:rPr>
  </w:style>
  <w:style w:type="character" w:styleId="833">
    <w:name w:val="footnote reference"/>
    <w:basedOn w:val="849"/>
    <w:uiPriority w:val="99"/>
    <w:unhideWhenUsed/>
    <w:rPr>
      <w:vertAlign w:val="superscript"/>
    </w:rPr>
  </w:style>
  <w:style w:type="paragraph" w:styleId="834">
    <w:name w:val="endnote text"/>
    <w:basedOn w:val="848"/>
    <w:link w:val="835"/>
    <w:uiPriority w:val="99"/>
    <w:semiHidden/>
    <w:unhideWhenUsed/>
    <w:pPr>
      <w:spacing w:after="0" w:line="240" w:lineRule="auto"/>
    </w:pPr>
    <w:rPr>
      <w:sz w:val="20"/>
    </w:rPr>
  </w:style>
  <w:style w:type="character" w:styleId="835">
    <w:name w:val="Endnote Text Char"/>
    <w:link w:val="834"/>
    <w:uiPriority w:val="99"/>
    <w:rPr>
      <w:sz w:val="20"/>
    </w:rPr>
  </w:style>
  <w:style w:type="character" w:styleId="836">
    <w:name w:val="endnote reference"/>
    <w:basedOn w:val="849"/>
    <w:uiPriority w:val="99"/>
    <w:semiHidden/>
    <w:unhideWhenUsed/>
    <w:rPr>
      <w:vertAlign w:val="superscript"/>
    </w:rPr>
  </w:style>
  <w:style w:type="paragraph" w:styleId="837">
    <w:name w:val="toc 1"/>
    <w:basedOn w:val="848"/>
    <w:next w:val="848"/>
    <w:uiPriority w:val="39"/>
    <w:unhideWhenUsed/>
    <w:pPr>
      <w:ind w:left="0" w:right="0" w:firstLine="0"/>
      <w:spacing w:after="57"/>
    </w:pPr>
  </w:style>
  <w:style w:type="paragraph" w:styleId="838">
    <w:name w:val="toc 2"/>
    <w:basedOn w:val="848"/>
    <w:next w:val="848"/>
    <w:uiPriority w:val="39"/>
    <w:unhideWhenUsed/>
    <w:pPr>
      <w:ind w:left="283" w:right="0" w:firstLine="0"/>
      <w:spacing w:after="57"/>
    </w:pPr>
  </w:style>
  <w:style w:type="paragraph" w:styleId="839">
    <w:name w:val="toc 3"/>
    <w:basedOn w:val="848"/>
    <w:next w:val="848"/>
    <w:uiPriority w:val="39"/>
    <w:unhideWhenUsed/>
    <w:pPr>
      <w:ind w:left="567" w:right="0" w:firstLine="0"/>
      <w:spacing w:after="57"/>
    </w:pPr>
  </w:style>
  <w:style w:type="paragraph" w:styleId="840">
    <w:name w:val="toc 4"/>
    <w:basedOn w:val="848"/>
    <w:next w:val="848"/>
    <w:uiPriority w:val="39"/>
    <w:unhideWhenUsed/>
    <w:pPr>
      <w:ind w:left="850" w:right="0" w:firstLine="0"/>
      <w:spacing w:after="57"/>
    </w:pPr>
  </w:style>
  <w:style w:type="paragraph" w:styleId="841">
    <w:name w:val="toc 5"/>
    <w:basedOn w:val="848"/>
    <w:next w:val="848"/>
    <w:uiPriority w:val="39"/>
    <w:unhideWhenUsed/>
    <w:pPr>
      <w:ind w:left="1134" w:right="0" w:firstLine="0"/>
      <w:spacing w:after="57"/>
    </w:pPr>
  </w:style>
  <w:style w:type="paragraph" w:styleId="842">
    <w:name w:val="toc 6"/>
    <w:basedOn w:val="848"/>
    <w:next w:val="848"/>
    <w:uiPriority w:val="39"/>
    <w:unhideWhenUsed/>
    <w:pPr>
      <w:ind w:left="1417" w:right="0" w:firstLine="0"/>
      <w:spacing w:after="57"/>
    </w:pPr>
  </w:style>
  <w:style w:type="paragraph" w:styleId="843">
    <w:name w:val="toc 7"/>
    <w:basedOn w:val="848"/>
    <w:next w:val="848"/>
    <w:uiPriority w:val="39"/>
    <w:unhideWhenUsed/>
    <w:pPr>
      <w:ind w:left="1701" w:right="0" w:firstLine="0"/>
      <w:spacing w:after="57"/>
    </w:pPr>
  </w:style>
  <w:style w:type="paragraph" w:styleId="844">
    <w:name w:val="toc 8"/>
    <w:basedOn w:val="848"/>
    <w:next w:val="848"/>
    <w:uiPriority w:val="39"/>
    <w:unhideWhenUsed/>
    <w:pPr>
      <w:ind w:left="1984" w:right="0" w:firstLine="0"/>
      <w:spacing w:after="57"/>
    </w:pPr>
  </w:style>
  <w:style w:type="paragraph" w:styleId="845">
    <w:name w:val="toc 9"/>
    <w:basedOn w:val="848"/>
    <w:next w:val="848"/>
    <w:uiPriority w:val="39"/>
    <w:unhideWhenUsed/>
    <w:pPr>
      <w:ind w:left="2268" w:right="0" w:firstLine="0"/>
      <w:spacing w:after="57"/>
    </w:pPr>
  </w:style>
  <w:style w:type="paragraph" w:styleId="846">
    <w:name w:val="TOC Heading"/>
    <w:uiPriority w:val="39"/>
    <w:unhideWhenUsed/>
  </w:style>
  <w:style w:type="paragraph" w:styleId="847">
    <w:name w:val="table of figures"/>
    <w:basedOn w:val="848"/>
    <w:next w:val="848"/>
    <w:uiPriority w:val="99"/>
    <w:unhideWhenUsed/>
    <w:pPr>
      <w:spacing w:after="0" w:afterAutospacing="0"/>
    </w:pPr>
  </w:style>
  <w:style w:type="paragraph" w:styleId="848" w:default="1">
    <w:name w:val="Normal"/>
    <w:qFormat/>
  </w:style>
  <w:style w:type="character" w:styleId="849" w:default="1">
    <w:name w:val="Default Paragraph Font"/>
    <w:uiPriority w:val="1"/>
    <w:semiHidden/>
    <w:unhideWhenUsed/>
  </w:style>
  <w:style w:type="table" w:styleId="85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1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Унтевская Наталья Николаевна</dc:creator>
  <cp:keywords/>
  <dc:description/>
  <cp:revision>8</cp:revision>
  <dcterms:created xsi:type="dcterms:W3CDTF">2024-08-07T06:01:00Z</dcterms:created>
  <dcterms:modified xsi:type="dcterms:W3CDTF">2024-12-13T10:49:17Z</dcterms:modified>
</cp:coreProperties>
</file>