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highlight w:val="none"/>
          <w:lang w:eastAsia="ru-RU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303</wp:posOffset>
                </wp:positionV>
                <wp:extent cx="2030257" cy="644055"/>
                <wp:effectExtent l="0" t="0" r="8255" b="3810"/>
                <wp:wrapNone/>
                <wp:docPr id="1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Упрощенное лого Ставропо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30257" cy="644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so-position-horizontal:left;mso-position-vertical-relative:text;margin-top:0.02pt;mso-position-vertical:absolute;width:159.86pt;height:50.71pt;mso-wrap-distance-left:9.00pt;mso-wrap-distance-top:0.00pt;mso-wrap-distance-right:9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>
      <w:pPr>
        <w:widowControl w:val="off"/>
        <w:tabs>
          <w:tab w:val="left" w:pos="1134" w:leader="none"/>
        </w:tabs>
        <w:spacing w:after="0" w:line="276" w:lineRule="auto"/>
        <w:ind w:firstLine="0"/>
        <w:jc w:val="both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widowControl w:val="off"/>
        <w:tabs>
          <w:tab w:val="left" w:pos="1134" w:leader="none"/>
        </w:tabs>
        <w:spacing w:after="0" w:line="240" w:lineRule="auto"/>
        <w:ind w:left="0" w:right="0" w:firstLine="709"/>
        <w:jc w:val="center"/>
        <w:rPr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</w:p>
    <w:p>
      <w:pPr>
        <w:widowControl w:val="off"/>
        <w:tabs>
          <w:tab w:val="left" w:pos="1134" w:leader="none"/>
        </w:tabs>
        <w:spacing w:after="0" w:line="240" w:lineRule="auto"/>
        <w:ind w:left="0" w:right="0" w:firstLine="709"/>
        <w:jc w:val="center"/>
        <w:rPr>
          <w:rFonts w:ascii="Tinos" w:hAnsi="Tinos" w:eastAsia="Tinos" w:cs="Tinos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nos" w:hAnsi="Tinos" w:eastAsia="Tinos" w:cs="Tinos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6"/>
          <w:szCs w:val="26"/>
          <w:highlight w:val="none"/>
        </w:rPr>
        <w:t xml:space="preserve">Охранные зоны пунктов государственных геодезических сетей</w:t>
      </w:r>
      <w:r>
        <w:rPr>
          <w:rFonts w:ascii="Tinos" w:hAnsi="Tinos" w:eastAsia="Tinos" w:cs="Tinos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nos" w:hAnsi="Tinos" w:eastAsia="Tinos" w:cs="Tinos"/>
          <w:b/>
          <w:bCs/>
          <w:color w:val="000000" w:themeColor="text1"/>
          <w:sz w:val="26"/>
          <w:szCs w:val="26"/>
          <w:highlight w:val="none"/>
        </w:rPr>
      </w:r>
    </w:p>
    <w:p>
      <w:pPr>
        <w:widowControl w:val="off"/>
        <w:tabs>
          <w:tab w:val="left" w:pos="1134" w:leader="none"/>
        </w:tabs>
        <w:spacing w:after="0" w:line="240" w:lineRule="auto"/>
        <w:ind w:left="0" w:right="0" w:firstLine="709"/>
        <w:jc w:val="both"/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</w:p>
    <w:p>
      <w:pPr>
        <w:widowControl w:val="off"/>
        <w:tabs>
          <w:tab w:val="left" w:pos="1134" w:leader="none"/>
        </w:tabs>
        <w:spacing w:after="0" w:line="240" w:lineRule="auto"/>
        <w:ind w:left="0" w:right="0" w:firstLine="709"/>
        <w:jc w:val="both"/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Управлением Росреестра по Ставропольскому краю в рамках возложенных полномочий осуществляется учет и обеспечение охраны пунктов государственной геодезической сети. 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</w:p>
    <w:p>
      <w:pPr>
        <w:widowControl w:val="off"/>
        <w:tabs>
          <w:tab w:val="left" w:pos="1134" w:leader="none"/>
        </w:tabs>
        <w:spacing w:after="0" w:line="240" w:lineRule="auto"/>
        <w:ind w:left="0" w:right="0" w:firstLine="709"/>
        <w:jc w:val="both"/>
        <w:rPr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В рамках обеспечения сохранности пунктов геодезических сетей Управлением проводятся работы по установлению охранных зон пунктов геодезических сетей. 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widowControl w:val="off"/>
        <w:tabs>
          <w:tab w:val="left" w:pos="1134" w:leader="none"/>
        </w:tabs>
        <w:spacing w:after="0" w:line="240" w:lineRule="auto"/>
        <w:ind w:left="0" w:right="0" w:firstLine="709"/>
        <w:jc w:val="both"/>
        <w:rPr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Охранная зона пунктов государственной геодезической сети – это зона с особыми условиями использования территории. Такие зоны устанавливаются для того, чтобы обеспечить необходимые условия для эксплуатации пунктов ГГС.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widowControl w:val="off"/>
        <w:tabs>
          <w:tab w:val="left" w:pos="1134" w:leader="none"/>
        </w:tabs>
        <w:spacing w:after="0" w:line="240" w:lineRule="auto"/>
        <w:ind w:left="0" w:right="0" w:firstLine="709"/>
        <w:jc w:val="both"/>
        <w:rPr>
          <w:sz w:val="26"/>
          <w:szCs w:val="26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В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 настоящее время постановлением Правительства Российской Федерации от 21.08.2019 № 1080 «Об охранных зонах пунктов государственной геодезической сети, государственной нивелирной сети и государственной гравиметрической сети» определено, что охранная зона ге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о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дезического пункта на местности представляет собой квадрат (сторона – 4 м) стороны которого ориентированы по сторонам света и иметь центральную точку (точку пересечения диагоналей) - центр пункта. Охранная зона пункта, расположенного в конструктивных элеме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н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тах зданий, строения (сооружений) определяется по контору здания, строения (сооружения), на котором расположен геодезический пункт, и сведения, о котором внесены в ЕГРН. В ином случае охранная зона определяется как квадрат, стороны которого равны 4 метрам.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widowControl w:val="off"/>
        <w:tabs>
          <w:tab w:val="left" w:pos="1134" w:leader="none"/>
        </w:tabs>
        <w:spacing w:after="0" w:line="240" w:lineRule="auto"/>
        <w:ind w:left="0" w:right="0" w:firstLine="709"/>
        <w:jc w:val="both"/>
      </w:pP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С момента утверждения Положения об охранных зонах и охране геодезических пунктов на территории Российской Федерации установлены ограничения в пределах границ охранных зон пунктов на осуществление использование земельных участков для осуществления видов деят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ельности, приводящих к повреждению или уничтожению наружных опознавательных знаков пунктов, нарушению неизменности местоположения их центров, уничтожению, перемещению, засыпке или повреждению составных частей пунктов. Также на земельных участках в границах 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охранных зон пунктов запрещается проведение работ, размещение объектов и предметов, которые могут препятствовать доступу к пунктам.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</w:p>
    <w:p>
      <w:pPr>
        <w:widowControl w:val="off"/>
        <w:tabs>
          <w:tab w:val="left" w:pos="1134" w:leader="none"/>
        </w:tabs>
        <w:spacing w:after="0" w:line="240" w:lineRule="auto"/>
        <w:ind w:left="0" w:right="0" w:firstLine="709"/>
        <w:jc w:val="both"/>
      </w:pP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В соответствии со ст. 42 Земельного кодекса Российской Федерации собственники земельных участков и лица, не являющиеся собственниками земельных участков, обязаны сохранять межевые, геодезические и другие специальные знаки, установленные на земельных участка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х в соответствии с законодательством. 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</w:p>
    <w:p>
      <w:pPr>
        <w:widowControl w:val="off"/>
        <w:tabs>
          <w:tab w:val="left" w:pos="1134" w:leader="none"/>
        </w:tabs>
        <w:spacing w:after="0" w:line="240" w:lineRule="auto"/>
        <w:ind w:left="0" w:right="0" w:firstLine="709"/>
        <w:jc w:val="both"/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Несоблюдение требований по обеспечению сохранности пунктов геодезических сетей может повлечь административную ответственность, предусмотренную ст. 7.2 Кодекса Российской Федерации об административных правонарушениях.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</w:p>
    <w:p>
      <w:pPr>
        <w:widowControl w:val="off"/>
        <w:tabs>
          <w:tab w:val="left" w:pos="1134" w:leader="none"/>
        </w:tabs>
        <w:spacing w:after="0" w:line="240" w:lineRule="auto"/>
        <w:ind w:left="0" w:right="0" w:firstLine="709"/>
        <w:jc w:val="both"/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Для поиска охранных зон, можно воспользоваться сервисом 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Федеральная государственная информационная система «Единая цифровая платформа </w:t>
      </w:r>
      <w:r>
        <w:rPr>
          <w:rFonts w:ascii="Tinos" w:hAnsi="Tinos" w:eastAsia="Tinos" w:cs="Tinos"/>
          <w:b/>
          <w:bCs/>
          <w:color w:val="000000" w:themeColor="text1"/>
          <w:sz w:val="26"/>
          <w:szCs w:val="26"/>
          <w:highlight w:val="none"/>
        </w:rPr>
        <w:t xml:space="preserve">«Национальная система пространственных данных»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 (ФГИС ЕЦП НСПД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 - nspd.gov.ru). 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</w:p>
    <w:p>
      <w:pPr>
        <w:widowControl w:val="off"/>
        <w:tabs>
          <w:tab w:val="left" w:pos="1134" w:leader="none"/>
        </w:tabs>
        <w:spacing w:after="0" w:line="240" w:lineRule="auto"/>
        <w:ind w:left="0" w:right="0" w:firstLine="709"/>
        <w:jc w:val="both"/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Так, 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общедоступная информация об объектах недвижимости (в том числе, сведения о расположении охранных зон пунктов ГГС) может быть получена посредством использования электронного сервиса «Публичная кадастровая карта» (ПКК), которая перенесена 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на Единую цифровую платформу «НСПД». На ПКК сохранился весь обязательный состав слоев и добавились новые возможности для по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  <w:t xml:space="preserve">льзователей.</w:t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</w:p>
    <w:p>
      <w:pPr>
        <w:widowControl w:val="off"/>
        <w:tabs>
          <w:tab w:val="left" w:pos="1134" w:leader="none"/>
        </w:tabs>
        <w:spacing w:after="0" w:line="276" w:lineRule="auto"/>
        <w:ind w:firstLine="709"/>
        <w:jc w:val="both"/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pP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  <w:r>
        <w:rPr>
          <w:rFonts w:ascii="Tinos" w:hAnsi="Tinos" w:eastAsia="Tinos" w:cs="Tinos"/>
          <w:color w:val="000000" w:themeColor="text1"/>
          <w:sz w:val="26"/>
          <w:szCs w:val="26"/>
          <w:highlight w:val="none"/>
        </w:rPr>
      </w:r>
    </w:p>
    <w:sectPr>
      <w:footnotePr/>
      <w:endnotePr/>
      <w:type w:val="nextPage"/>
      <w:pgSz w:w="11906" w:h="16838" w:orient="portrait"/>
      <w:pgMar w:top="851" w:right="851" w:bottom="28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92c2f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92c2f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92c2f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92c2f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92c2f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92c2f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92c2f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92c2f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92c2f"/>
        <w:sz w:val="21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6"/>
    <w:next w:val="846"/>
    <w:link w:val="675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47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46"/>
    <w:next w:val="846"/>
    <w:link w:val="677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47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6"/>
    <w:next w:val="846"/>
    <w:link w:val="679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47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6"/>
    <w:next w:val="846"/>
    <w:link w:val="681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47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6"/>
    <w:next w:val="846"/>
    <w:link w:val="683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47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6"/>
    <w:next w:val="846"/>
    <w:link w:val="685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47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6"/>
    <w:next w:val="846"/>
    <w:link w:val="687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47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6"/>
    <w:next w:val="846"/>
    <w:link w:val="689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47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6"/>
    <w:next w:val="846"/>
    <w:link w:val="691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47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Title"/>
    <w:basedOn w:val="846"/>
    <w:next w:val="846"/>
    <w:link w:val="693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3">
    <w:name w:val="Title Char"/>
    <w:basedOn w:val="847"/>
    <w:link w:val="692"/>
    <w:uiPriority w:val="10"/>
    <w:rPr>
      <w:sz w:val="48"/>
      <w:szCs w:val="48"/>
    </w:rPr>
  </w:style>
  <w:style w:type="paragraph" w:styleId="694">
    <w:name w:val="Subtitle"/>
    <w:basedOn w:val="846"/>
    <w:next w:val="846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47"/>
    <w:link w:val="694"/>
    <w:uiPriority w:val="11"/>
    <w:rPr>
      <w:sz w:val="24"/>
      <w:szCs w:val="24"/>
    </w:rPr>
  </w:style>
  <w:style w:type="paragraph" w:styleId="696">
    <w:name w:val="Quote"/>
    <w:basedOn w:val="846"/>
    <w:next w:val="846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6"/>
    <w:next w:val="846"/>
    <w:link w:val="69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character" w:styleId="700">
    <w:name w:val="Header Char"/>
    <w:basedOn w:val="847"/>
    <w:link w:val="851"/>
    <w:uiPriority w:val="99"/>
  </w:style>
  <w:style w:type="character" w:styleId="701">
    <w:name w:val="Footer Char"/>
    <w:basedOn w:val="847"/>
    <w:link w:val="853"/>
    <w:uiPriority w:val="99"/>
  </w:style>
  <w:style w:type="paragraph" w:styleId="702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853"/>
    <w:uiPriority w:val="99"/>
  </w:style>
  <w:style w:type="table" w:styleId="704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8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9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0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1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39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40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41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42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43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44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45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3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4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5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6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7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8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9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3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4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5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6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7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8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7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8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9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0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1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2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7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7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spacing w:after="57"/>
      <w:ind w:left="0" w:right="0" w:firstLine="0"/>
    </w:pPr>
  </w:style>
  <w:style w:type="paragraph" w:styleId="836">
    <w:name w:val="toc 2"/>
    <w:basedOn w:val="846"/>
    <w:next w:val="846"/>
    <w:uiPriority w:val="39"/>
    <w:unhideWhenUsed/>
    <w:pPr>
      <w:spacing w:after="57"/>
      <w:ind w:left="283" w:right="0" w:firstLine="0"/>
    </w:pPr>
  </w:style>
  <w:style w:type="paragraph" w:styleId="837">
    <w:name w:val="toc 3"/>
    <w:basedOn w:val="846"/>
    <w:next w:val="846"/>
    <w:uiPriority w:val="39"/>
    <w:unhideWhenUsed/>
    <w:pPr>
      <w:spacing w:after="57"/>
      <w:ind w:left="567" w:right="0" w:firstLine="0"/>
    </w:pPr>
  </w:style>
  <w:style w:type="paragraph" w:styleId="838">
    <w:name w:val="toc 4"/>
    <w:basedOn w:val="846"/>
    <w:next w:val="846"/>
    <w:uiPriority w:val="39"/>
    <w:unhideWhenUsed/>
    <w:pPr>
      <w:spacing w:after="57"/>
      <w:ind w:left="850" w:right="0" w:firstLine="0"/>
    </w:pPr>
  </w:style>
  <w:style w:type="paragraph" w:styleId="839">
    <w:name w:val="toc 5"/>
    <w:basedOn w:val="846"/>
    <w:next w:val="846"/>
    <w:uiPriority w:val="39"/>
    <w:unhideWhenUsed/>
    <w:pPr>
      <w:spacing w:after="57"/>
      <w:ind w:left="1134" w:right="0" w:firstLine="0"/>
    </w:pPr>
  </w:style>
  <w:style w:type="paragraph" w:styleId="840">
    <w:name w:val="toc 6"/>
    <w:basedOn w:val="846"/>
    <w:next w:val="846"/>
    <w:uiPriority w:val="39"/>
    <w:unhideWhenUsed/>
    <w:pPr>
      <w:spacing w:after="57"/>
      <w:ind w:left="1417" w:right="0" w:firstLine="0"/>
    </w:pPr>
  </w:style>
  <w:style w:type="paragraph" w:styleId="841">
    <w:name w:val="toc 7"/>
    <w:basedOn w:val="846"/>
    <w:next w:val="846"/>
    <w:uiPriority w:val="39"/>
    <w:unhideWhenUsed/>
    <w:pPr>
      <w:spacing w:after="57"/>
      <w:ind w:left="1701" w:right="0" w:firstLine="0"/>
    </w:pPr>
  </w:style>
  <w:style w:type="paragraph" w:styleId="842">
    <w:name w:val="toc 8"/>
    <w:basedOn w:val="846"/>
    <w:next w:val="846"/>
    <w:uiPriority w:val="39"/>
    <w:unhideWhenUsed/>
    <w:pPr>
      <w:spacing w:after="57"/>
      <w:ind w:left="1984" w:right="0" w:firstLine="0"/>
    </w:pPr>
  </w:style>
  <w:style w:type="paragraph" w:styleId="843">
    <w:name w:val="toc 9"/>
    <w:basedOn w:val="846"/>
    <w:next w:val="846"/>
    <w:uiPriority w:val="39"/>
    <w:unhideWhenUsed/>
    <w:pPr>
      <w:spacing w:after="57"/>
      <w:ind w:left="2268" w:right="0" w:firstLine="0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table" w:styleId="850">
    <w:name w:val="Table Grid"/>
    <w:basedOn w:val="84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1">
    <w:name w:val="Header"/>
    <w:basedOn w:val="846"/>
    <w:link w:val="852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52" w:customStyle="1">
    <w:name w:val="Верхний колонтитул Знак"/>
    <w:basedOn w:val="847"/>
    <w:link w:val="851"/>
    <w:uiPriority w:val="99"/>
  </w:style>
  <w:style w:type="paragraph" w:styleId="853">
    <w:name w:val="Footer"/>
    <w:basedOn w:val="846"/>
    <w:link w:val="854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54" w:customStyle="1">
    <w:name w:val="Нижний колонтитул Знак"/>
    <w:basedOn w:val="847"/>
    <w:link w:val="853"/>
    <w:uiPriority w:val="99"/>
  </w:style>
  <w:style w:type="paragraph" w:styleId="855">
    <w:name w:val="List Paragraph"/>
    <w:basedOn w:val="846"/>
    <w:uiPriority w:val="34"/>
    <w:qFormat/>
    <w:pPr>
      <w:ind w:left="720"/>
      <w:contextualSpacing/>
    </w:pPr>
  </w:style>
  <w:style w:type="paragraph" w:styleId="856">
    <w:name w:val="Balloon Text"/>
    <w:basedOn w:val="846"/>
    <w:link w:val="85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7" w:customStyle="1">
    <w:name w:val="Текст выноски Знак"/>
    <w:basedOn w:val="847"/>
    <w:link w:val="856"/>
    <w:uiPriority w:val="99"/>
    <w:semiHidden/>
    <w:rPr>
      <w:rFonts w:ascii="Segoe UI" w:hAnsi="Segoe UI" w:cs="Segoe UI"/>
      <w:sz w:val="18"/>
      <w:szCs w:val="18"/>
    </w:rPr>
  </w:style>
  <w:style w:type="paragraph" w:styleId="858">
    <w:name w:val="No Spacing"/>
    <w:uiPriority w:val="1"/>
    <w:qFormat/>
    <w:pPr>
      <w:spacing w:after="0" w:line="240" w:lineRule="auto"/>
    </w:pPr>
  </w:style>
  <w:style w:type="paragraph" w:styleId="859" w:customStyle="1">
    <w:name w:val="ConsPlusNormal"/>
    <w:pPr>
      <w:widowControl w:val="off"/>
      <w:spacing w:after="0" w:line="240" w:lineRule="auto"/>
    </w:pPr>
    <w:rPr>
      <w:rFonts w:ascii="Arial" w:hAnsi="Arial" w:eastAsia="Times New Roman" w:cs="Arial"/>
      <w:sz w:val="20"/>
      <w:lang w:eastAsia="ru-RU"/>
    </w:rPr>
  </w:style>
  <w:style w:type="character" w:styleId="860">
    <w:name w:val="Hyperlink"/>
    <w:basedOn w:val="847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Надежда Васильевна</dc:creator>
  <cp:keywords/>
  <dc:description/>
  <cp:revision>27</cp:revision>
  <dcterms:created xsi:type="dcterms:W3CDTF">2024-09-11T12:09:00Z</dcterms:created>
  <dcterms:modified xsi:type="dcterms:W3CDTF">2025-02-14T08:06:10Z</dcterms:modified>
</cp:coreProperties>
</file>