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99" w:rsidRPr="009667DB" w:rsidRDefault="009667DB" w:rsidP="00572DE7">
      <w:pPr>
        <w:widowControl w:val="0"/>
        <w:autoSpaceDE w:val="0"/>
        <w:autoSpaceDN w:val="0"/>
        <w:adjustRightInd w:val="0"/>
        <w:ind w:left="4820"/>
        <w:jc w:val="center"/>
        <w:outlineLvl w:val="1"/>
      </w:pPr>
      <w:r w:rsidRPr="009667DB">
        <w:t xml:space="preserve">Утвержден </w:t>
      </w:r>
    </w:p>
    <w:p w:rsidR="004B4A99" w:rsidRPr="009667DB" w:rsidRDefault="004B4A99" w:rsidP="00572DE7">
      <w:pPr>
        <w:widowControl w:val="0"/>
        <w:autoSpaceDE w:val="0"/>
        <w:autoSpaceDN w:val="0"/>
        <w:adjustRightInd w:val="0"/>
        <w:ind w:left="4820"/>
        <w:jc w:val="center"/>
        <w:outlineLvl w:val="1"/>
      </w:pPr>
      <w:r w:rsidRPr="009667DB">
        <w:t>распоряжени</w:t>
      </w:r>
      <w:r w:rsidR="009667DB" w:rsidRPr="009667DB">
        <w:t>ем</w:t>
      </w:r>
    </w:p>
    <w:p w:rsidR="004B4A99" w:rsidRPr="009667DB" w:rsidRDefault="004B4A99" w:rsidP="00572DE7">
      <w:pPr>
        <w:widowControl w:val="0"/>
        <w:autoSpaceDE w:val="0"/>
        <w:autoSpaceDN w:val="0"/>
        <w:adjustRightInd w:val="0"/>
        <w:ind w:left="4820"/>
        <w:jc w:val="center"/>
        <w:outlineLvl w:val="1"/>
      </w:pPr>
      <w:r w:rsidRPr="009667DB">
        <w:t>Контрольно-счетной палаты</w:t>
      </w:r>
    </w:p>
    <w:p w:rsidR="004B4A99" w:rsidRPr="009667DB" w:rsidRDefault="004B4A99" w:rsidP="00572DE7">
      <w:pPr>
        <w:widowControl w:val="0"/>
        <w:autoSpaceDE w:val="0"/>
        <w:autoSpaceDN w:val="0"/>
        <w:adjustRightInd w:val="0"/>
        <w:ind w:left="4820"/>
        <w:jc w:val="center"/>
        <w:outlineLvl w:val="1"/>
      </w:pPr>
      <w:r w:rsidRPr="009667DB">
        <w:t xml:space="preserve">Нефтекумского </w:t>
      </w:r>
      <w:r w:rsidR="00157308" w:rsidRPr="009667DB">
        <w:t xml:space="preserve">муниципального </w:t>
      </w:r>
      <w:r w:rsidRPr="009667DB">
        <w:t xml:space="preserve"> округа</w:t>
      </w:r>
    </w:p>
    <w:p w:rsidR="004B4A99" w:rsidRPr="009667DB" w:rsidRDefault="004B4A99" w:rsidP="00572DE7">
      <w:pPr>
        <w:widowControl w:val="0"/>
        <w:autoSpaceDE w:val="0"/>
        <w:autoSpaceDN w:val="0"/>
        <w:adjustRightInd w:val="0"/>
        <w:ind w:left="4820"/>
        <w:jc w:val="center"/>
        <w:outlineLvl w:val="1"/>
      </w:pPr>
      <w:r w:rsidRPr="009667DB">
        <w:t>Ставропольского края</w:t>
      </w:r>
      <w:r w:rsidR="00572DE7" w:rsidRPr="009667DB">
        <w:t xml:space="preserve"> от 13.11.2023 г. № 11-о</w:t>
      </w:r>
    </w:p>
    <w:p w:rsidR="004B4A99" w:rsidRPr="004B4A99" w:rsidRDefault="004B4A99" w:rsidP="004B4A99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b/>
          <w:color w:val="000000"/>
          <w:szCs w:val="28"/>
          <w:lang w:eastAsia="ar-SA"/>
        </w:rPr>
      </w:pPr>
    </w:p>
    <w:p w:rsidR="00104D61" w:rsidRPr="00EC4214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Pr="00EC4214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Pr="00EC4214" w:rsidRDefault="00104D61" w:rsidP="00104D61">
      <w:pPr>
        <w:suppressAutoHyphens/>
        <w:rPr>
          <w:rFonts w:ascii="Times New Roman CYR" w:hAnsi="Times New Roman CYR" w:cs="Times New Roman CYR"/>
          <w:lang w:eastAsia="ar-SA"/>
        </w:rPr>
      </w:pPr>
    </w:p>
    <w:p w:rsidR="00104D61" w:rsidRPr="00EC4214" w:rsidRDefault="00104D61" w:rsidP="00104D61">
      <w:pPr>
        <w:suppressAutoHyphens/>
        <w:rPr>
          <w:rFonts w:ascii="Times New Roman CYR" w:hAnsi="Times New Roman CYR" w:cs="Times New Roman CYR"/>
          <w:lang w:eastAsia="ar-SA"/>
        </w:rPr>
      </w:pPr>
    </w:p>
    <w:p w:rsidR="00104D61" w:rsidRPr="00EC4214" w:rsidRDefault="00104D61" w:rsidP="00104D61">
      <w:pPr>
        <w:suppressAutoHyphens/>
        <w:rPr>
          <w:rFonts w:ascii="Times New Roman CYR" w:hAnsi="Times New Roman CYR" w:cs="Times New Roman CYR"/>
          <w:lang w:eastAsia="ar-SA"/>
        </w:rPr>
      </w:pPr>
    </w:p>
    <w:p w:rsidR="00104D61" w:rsidRPr="00EC4214" w:rsidRDefault="00104D61" w:rsidP="00104D61">
      <w:pPr>
        <w:suppressAutoHyphens/>
        <w:rPr>
          <w:rFonts w:ascii="Times New Roman CYR" w:hAnsi="Times New Roman CYR" w:cs="Times New Roman CYR"/>
          <w:lang w:eastAsia="ar-SA"/>
        </w:rPr>
      </w:pPr>
    </w:p>
    <w:p w:rsidR="00104D61" w:rsidRPr="009667DB" w:rsidRDefault="00104D61" w:rsidP="00104D61">
      <w:pPr>
        <w:suppressAutoHyphens/>
        <w:spacing w:before="115"/>
        <w:ind w:right="5"/>
        <w:jc w:val="center"/>
        <w:rPr>
          <w:b/>
          <w:caps/>
          <w:color w:val="000000"/>
          <w:sz w:val="28"/>
          <w:szCs w:val="28"/>
          <w:lang w:eastAsia="ar-SA"/>
        </w:rPr>
      </w:pPr>
      <w:r w:rsidRPr="009667DB">
        <w:rPr>
          <w:b/>
          <w:caps/>
          <w:color w:val="000000"/>
          <w:sz w:val="28"/>
          <w:szCs w:val="28"/>
          <w:lang w:eastAsia="ar-SA"/>
        </w:rPr>
        <w:t>Стандарт внешнего муницИпального финансового контроля</w:t>
      </w:r>
    </w:p>
    <w:p w:rsidR="00104D61" w:rsidRPr="009667DB" w:rsidRDefault="00104D61" w:rsidP="00104D61">
      <w:pPr>
        <w:suppressAutoHyphens/>
        <w:spacing w:before="115"/>
        <w:ind w:right="5"/>
        <w:jc w:val="center"/>
        <w:rPr>
          <w:b/>
          <w:bCs/>
          <w:caps/>
          <w:color w:val="000000"/>
          <w:sz w:val="28"/>
          <w:szCs w:val="28"/>
          <w:lang w:eastAsia="ar-SA"/>
        </w:rPr>
      </w:pPr>
    </w:p>
    <w:p w:rsidR="00104D61" w:rsidRPr="009667DB" w:rsidRDefault="00104D61" w:rsidP="00104D6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667DB">
        <w:rPr>
          <w:b/>
          <w:bCs/>
          <w:caps/>
          <w:color w:val="000000"/>
          <w:sz w:val="28"/>
          <w:szCs w:val="28"/>
          <w:lang w:eastAsia="ar-SA"/>
        </w:rPr>
        <w:t>СВМФК</w:t>
      </w:r>
      <w:r w:rsidRPr="009667DB">
        <w:rPr>
          <w:b/>
          <w:bCs/>
          <w:sz w:val="28"/>
          <w:szCs w:val="28"/>
          <w:lang w:eastAsia="ar-SA"/>
        </w:rPr>
        <w:t xml:space="preserve">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</w:p>
    <w:p w:rsidR="00104D61" w:rsidRPr="00E57026" w:rsidRDefault="00104D61" w:rsidP="00104D6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04D61" w:rsidRPr="00BF7F2E" w:rsidRDefault="00104D61" w:rsidP="00104D61">
      <w:pPr>
        <w:suppressAutoHyphens/>
        <w:jc w:val="center"/>
        <w:rPr>
          <w:rFonts w:ascii="Times New Roman CYR" w:hAnsi="Times New Roman CYR" w:cs="Times New Roman CYR"/>
          <w:szCs w:val="28"/>
          <w:lang w:eastAsia="ar-SA"/>
        </w:rPr>
      </w:pPr>
    </w:p>
    <w:p w:rsidR="00104D61" w:rsidRPr="00BF7F2E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Pr="00BF7F2E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Pr="00BF7F2E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Pr="00BF7F2E" w:rsidRDefault="00104D61" w:rsidP="00104D61">
      <w:pPr>
        <w:tabs>
          <w:tab w:val="left" w:pos="5988"/>
          <w:tab w:val="left" w:pos="7655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Pr="00C151D8" w:rsidRDefault="00104D61" w:rsidP="00104D61">
      <w:pPr>
        <w:rPr>
          <w:szCs w:val="28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Pr="00BF7F2E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  <w:bookmarkStart w:id="0" w:name="_GoBack"/>
      <w:bookmarkEnd w:id="0"/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11C73" w:rsidRDefault="00111C73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11C73" w:rsidRDefault="00111C73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11C73" w:rsidRDefault="00111C73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11C73" w:rsidRDefault="00111C73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11C73" w:rsidRDefault="00111C73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11C73" w:rsidRDefault="00111C73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11C73" w:rsidRDefault="00111C73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>
      <w:pPr>
        <w:tabs>
          <w:tab w:val="left" w:pos="4536"/>
          <w:tab w:val="left" w:pos="4650"/>
          <w:tab w:val="left" w:pos="4820"/>
          <w:tab w:val="left" w:pos="5008"/>
        </w:tabs>
        <w:suppressAutoHyphens/>
        <w:jc w:val="right"/>
        <w:rPr>
          <w:rFonts w:ascii="Times New Roman CYR" w:hAnsi="Times New Roman CYR" w:cs="Times New Roman CYR"/>
          <w:color w:val="000000"/>
          <w:szCs w:val="28"/>
          <w:lang w:eastAsia="ar-SA"/>
        </w:rPr>
      </w:pPr>
    </w:p>
    <w:p w:rsidR="00104D61" w:rsidRDefault="00104D61" w:rsidP="00104D61"/>
    <w:p w:rsidR="00111C73" w:rsidRPr="00BF7F2E" w:rsidRDefault="00111C73" w:rsidP="00104D61"/>
    <w:p w:rsidR="009E37AF" w:rsidRDefault="009E37AF" w:rsidP="009E37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E37AF" w:rsidRDefault="009E37AF" w:rsidP="009E37AF">
      <w:pPr>
        <w:rPr>
          <w:sz w:val="28"/>
          <w:szCs w:val="28"/>
        </w:rPr>
      </w:pPr>
    </w:p>
    <w:tbl>
      <w:tblPr>
        <w:tblW w:w="9039" w:type="dxa"/>
        <w:tblLook w:val="04A0"/>
      </w:tblPr>
      <w:tblGrid>
        <w:gridCol w:w="7763"/>
        <w:gridCol w:w="1276"/>
      </w:tblGrid>
      <w:tr w:rsidR="009E37AF" w:rsidTr="009E37AF">
        <w:tc>
          <w:tcPr>
            <w:tcW w:w="7763" w:type="dxa"/>
            <w:hideMark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 Общие положения</w:t>
            </w:r>
          </w:p>
        </w:tc>
        <w:tc>
          <w:tcPr>
            <w:tcW w:w="1276" w:type="dxa"/>
            <w:hideMark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9E37AF" w:rsidTr="009E37AF">
        <w:tc>
          <w:tcPr>
            <w:tcW w:w="7763" w:type="dxa"/>
            <w:hideMark/>
          </w:tcPr>
          <w:p w:rsidR="009E37AF" w:rsidRDefault="009E37AF" w:rsidP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2. Основные этапы проведения внешней проверки</w:t>
            </w:r>
          </w:p>
        </w:tc>
        <w:tc>
          <w:tcPr>
            <w:tcW w:w="1276" w:type="dxa"/>
            <w:hideMark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</w:p>
        </w:tc>
      </w:tr>
      <w:tr w:rsidR="009E37AF" w:rsidTr="009E37AF">
        <w:tc>
          <w:tcPr>
            <w:tcW w:w="7763" w:type="dxa"/>
            <w:hideMark/>
          </w:tcPr>
          <w:p w:rsidR="009E37AF" w:rsidRDefault="009E37AF" w:rsidP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3. Комплекс контрольных мероприятий </w:t>
            </w:r>
          </w:p>
        </w:tc>
        <w:tc>
          <w:tcPr>
            <w:tcW w:w="1276" w:type="dxa"/>
            <w:hideMark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</w:tr>
      <w:tr w:rsidR="009E37AF" w:rsidTr="009E37AF">
        <w:tc>
          <w:tcPr>
            <w:tcW w:w="7763" w:type="dxa"/>
            <w:hideMark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4. </w:t>
            </w:r>
            <w:r w:rsidRPr="009E37AF">
              <w:rPr>
                <w:snapToGrid w:val="0"/>
                <w:sz w:val="28"/>
                <w:szCs w:val="28"/>
              </w:rPr>
              <w:t>Подготовка Заключения КСП</w:t>
            </w:r>
          </w:p>
        </w:tc>
        <w:tc>
          <w:tcPr>
            <w:tcW w:w="1276" w:type="dxa"/>
            <w:hideMark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</w:p>
        </w:tc>
      </w:tr>
      <w:tr w:rsidR="009E37AF" w:rsidTr="009E37AF">
        <w:tc>
          <w:tcPr>
            <w:tcW w:w="7763" w:type="dxa"/>
            <w:hideMark/>
          </w:tcPr>
          <w:p w:rsidR="009E37AF" w:rsidRDefault="009E37AF" w:rsidP="009E37AF">
            <w:pPr>
              <w:rPr>
                <w:sz w:val="28"/>
                <w:szCs w:val="28"/>
              </w:rPr>
            </w:pPr>
          </w:p>
          <w:p w:rsidR="009E37AF" w:rsidRPr="0034116D" w:rsidRDefault="009E37AF" w:rsidP="009E3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4116D">
              <w:rPr>
                <w:sz w:val="28"/>
                <w:szCs w:val="28"/>
              </w:rPr>
              <w:t xml:space="preserve">риложение №1 </w:t>
            </w:r>
          </w:p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</w:p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</w:t>
            </w:r>
          </w:p>
        </w:tc>
      </w:tr>
      <w:tr w:rsidR="009E37AF" w:rsidTr="009E37AF">
        <w:tc>
          <w:tcPr>
            <w:tcW w:w="7763" w:type="dxa"/>
          </w:tcPr>
          <w:p w:rsidR="009E37AF" w:rsidRDefault="009E37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E37AF" w:rsidRDefault="009E37AF">
            <w:pPr>
              <w:widowControl w:val="0"/>
              <w:spacing w:line="276" w:lineRule="auto"/>
              <w:rPr>
                <w:snapToGrid w:val="0"/>
                <w:sz w:val="28"/>
                <w:szCs w:val="28"/>
              </w:rPr>
            </w:pPr>
          </w:p>
        </w:tc>
      </w:tr>
    </w:tbl>
    <w:p w:rsidR="009E37AF" w:rsidRPr="009E37AF" w:rsidRDefault="009E37AF" w:rsidP="009E37AF">
      <w:pPr>
        <w:ind w:firstLine="708"/>
        <w:jc w:val="both"/>
        <w:rPr>
          <w:bCs/>
          <w:sz w:val="28"/>
          <w:szCs w:val="28"/>
        </w:rPr>
      </w:pPr>
    </w:p>
    <w:p w:rsidR="009E37AF" w:rsidRPr="009E37AF" w:rsidRDefault="009E37AF" w:rsidP="009E37AF">
      <w:pPr>
        <w:ind w:firstLine="708"/>
        <w:jc w:val="both"/>
        <w:rPr>
          <w:bCs/>
          <w:sz w:val="28"/>
          <w:szCs w:val="28"/>
        </w:rPr>
      </w:pPr>
    </w:p>
    <w:p w:rsidR="009E37AF" w:rsidRPr="009E37AF" w:rsidRDefault="009E37AF" w:rsidP="009E37AF">
      <w:pPr>
        <w:ind w:firstLine="708"/>
        <w:jc w:val="both"/>
        <w:rPr>
          <w:bCs/>
          <w:sz w:val="28"/>
          <w:szCs w:val="28"/>
        </w:rPr>
      </w:pPr>
    </w:p>
    <w:p w:rsidR="009E37AF" w:rsidRPr="009E37AF" w:rsidRDefault="009E37AF" w:rsidP="009E37AF">
      <w:pPr>
        <w:ind w:firstLine="708"/>
        <w:jc w:val="both"/>
        <w:rPr>
          <w:bCs/>
          <w:sz w:val="28"/>
          <w:szCs w:val="28"/>
        </w:rPr>
      </w:pPr>
    </w:p>
    <w:p w:rsidR="009E37AF" w:rsidRPr="009E37AF" w:rsidRDefault="009E37AF" w:rsidP="009E37AF">
      <w:pPr>
        <w:ind w:firstLine="708"/>
        <w:jc w:val="both"/>
        <w:rPr>
          <w:bCs/>
          <w:sz w:val="28"/>
          <w:szCs w:val="28"/>
        </w:rPr>
      </w:pPr>
    </w:p>
    <w:p w:rsidR="009E37AF" w:rsidRPr="009E37AF" w:rsidRDefault="009E37AF" w:rsidP="009E37AF">
      <w:pPr>
        <w:ind w:firstLine="708"/>
        <w:jc w:val="both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9E37AF" w:rsidRDefault="009E37AF" w:rsidP="009E37AF">
      <w:pPr>
        <w:jc w:val="center"/>
        <w:rPr>
          <w:bCs/>
          <w:sz w:val="28"/>
          <w:szCs w:val="28"/>
        </w:rPr>
      </w:pPr>
    </w:p>
    <w:p w:rsidR="00104D61" w:rsidRPr="009E37AF" w:rsidRDefault="00104D61" w:rsidP="009E37AF">
      <w:pPr>
        <w:jc w:val="center"/>
        <w:rPr>
          <w:b/>
          <w:bCs/>
          <w:sz w:val="28"/>
          <w:szCs w:val="28"/>
        </w:rPr>
      </w:pPr>
      <w:r w:rsidRPr="009E37AF">
        <w:rPr>
          <w:b/>
          <w:bCs/>
          <w:sz w:val="28"/>
          <w:szCs w:val="28"/>
        </w:rPr>
        <w:lastRenderedPageBreak/>
        <w:t>1. Общие положения</w:t>
      </w:r>
    </w:p>
    <w:p w:rsidR="00643D29" w:rsidRPr="009E37AF" w:rsidRDefault="00643D29" w:rsidP="009E37AF">
      <w:pPr>
        <w:ind w:firstLine="708"/>
        <w:jc w:val="both"/>
        <w:rPr>
          <w:bCs/>
          <w:sz w:val="28"/>
          <w:szCs w:val="28"/>
        </w:rPr>
      </w:pPr>
    </w:p>
    <w:p w:rsidR="00104D61" w:rsidRPr="0034116D" w:rsidRDefault="00104D61" w:rsidP="0034116D">
      <w:pPr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1.1. </w:t>
      </w:r>
      <w:proofErr w:type="gramStart"/>
      <w:r w:rsidRPr="0034116D">
        <w:rPr>
          <w:sz w:val="28"/>
          <w:szCs w:val="28"/>
        </w:rPr>
        <w:t>Стандарт внешнего муниципального финансового контроля СВМФК «</w:t>
      </w:r>
      <w:r w:rsidRPr="0034116D">
        <w:rPr>
          <w:bCs/>
          <w:sz w:val="28"/>
          <w:szCs w:val="28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Pr="0034116D">
        <w:rPr>
          <w:sz w:val="28"/>
          <w:szCs w:val="28"/>
        </w:rPr>
        <w:t xml:space="preserve"> (далее – Стандарт) разработан во исполнение положений ст. 264.4 Бюджетного кодекса РФ, ст. 9 и ст. 11 </w:t>
      </w:r>
      <w:hyperlink r:id="rId7" w:history="1">
        <w:r w:rsidR="00B96A69" w:rsidRPr="00B96A6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Федерального закона от 07.02.2011 N 6-ФЗ (ред. от 31.07.2023) «Об общих принципах организации и деятельности контрольно-счетных органов субъектов</w:t>
        </w:r>
        <w:proofErr w:type="gramEnd"/>
        <w:r w:rsidR="00B96A69" w:rsidRPr="00B96A6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Федерации, федеральных территорий и муниципальных образований</w:t>
        </w:r>
      </w:hyperlink>
      <w:r w:rsidR="00B96A69" w:rsidRPr="00B96A69">
        <w:rPr>
          <w:sz w:val="28"/>
          <w:szCs w:val="28"/>
        </w:rPr>
        <w:t>»</w:t>
      </w:r>
      <w:r w:rsidR="007D47C1">
        <w:rPr>
          <w:sz w:val="28"/>
          <w:szCs w:val="28"/>
        </w:rPr>
        <w:t xml:space="preserve"> </w:t>
      </w:r>
      <w:r w:rsidRPr="0034116D">
        <w:rPr>
          <w:sz w:val="28"/>
          <w:szCs w:val="28"/>
        </w:rPr>
        <w:t>и на основании Стандарта финансового контроля (типового)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Президиума Союза МКСО, протокол заседания Президиума Союза МКСО от 30.11.2018 г. № 6 (63), п. 20.2.4.</w:t>
      </w:r>
    </w:p>
    <w:p w:rsidR="00104D61" w:rsidRPr="0034116D" w:rsidRDefault="00104D61" w:rsidP="0034116D">
      <w:pPr>
        <w:ind w:firstLine="708"/>
        <w:jc w:val="both"/>
        <w:rPr>
          <w:b/>
          <w:sz w:val="28"/>
          <w:szCs w:val="28"/>
        </w:rPr>
      </w:pPr>
      <w:r w:rsidRPr="0034116D">
        <w:rPr>
          <w:sz w:val="28"/>
          <w:szCs w:val="28"/>
        </w:rPr>
        <w:t>1.2.</w:t>
      </w:r>
      <w:r w:rsidR="00427AFB">
        <w:rPr>
          <w:sz w:val="28"/>
          <w:szCs w:val="28"/>
        </w:rPr>
        <w:t xml:space="preserve"> </w:t>
      </w:r>
      <w:proofErr w:type="gramStart"/>
      <w:r w:rsidRPr="0034116D">
        <w:rPr>
          <w:sz w:val="28"/>
          <w:szCs w:val="28"/>
        </w:rPr>
        <w:t xml:space="preserve">При адаптации Стандарта учитываются положения Устава Нефтекумского </w:t>
      </w:r>
      <w:r w:rsidR="00157308">
        <w:rPr>
          <w:sz w:val="28"/>
          <w:szCs w:val="28"/>
        </w:rPr>
        <w:t>муниципального</w:t>
      </w:r>
      <w:r w:rsidRPr="0034116D">
        <w:rPr>
          <w:sz w:val="28"/>
          <w:szCs w:val="28"/>
        </w:rPr>
        <w:t xml:space="preserve"> округа Ставропольского края, Положения о Контрольно-счетной палате Нефтекумского </w:t>
      </w:r>
      <w:r w:rsidR="00157308">
        <w:rPr>
          <w:sz w:val="28"/>
          <w:szCs w:val="28"/>
        </w:rPr>
        <w:t>муниципального</w:t>
      </w:r>
      <w:r w:rsidRPr="0034116D">
        <w:rPr>
          <w:sz w:val="28"/>
          <w:szCs w:val="28"/>
        </w:rPr>
        <w:t xml:space="preserve"> округа Ставропольского края, Положения о бюджетном процессе в Нефтекумском </w:t>
      </w:r>
      <w:r w:rsidR="00157308">
        <w:rPr>
          <w:sz w:val="28"/>
          <w:szCs w:val="28"/>
        </w:rPr>
        <w:t>муниципального</w:t>
      </w:r>
      <w:r w:rsidRPr="0034116D">
        <w:rPr>
          <w:sz w:val="28"/>
          <w:szCs w:val="28"/>
        </w:rPr>
        <w:t xml:space="preserve"> округе Ставропольского края.</w:t>
      </w:r>
      <w:proofErr w:type="gramEnd"/>
    </w:p>
    <w:p w:rsidR="00104D61" w:rsidRPr="0034116D" w:rsidRDefault="00104D61" w:rsidP="0034116D">
      <w:pPr>
        <w:ind w:firstLine="708"/>
        <w:jc w:val="both"/>
        <w:rPr>
          <w:sz w:val="28"/>
          <w:szCs w:val="28"/>
          <w:lang w:eastAsia="ar-SA"/>
        </w:rPr>
      </w:pPr>
      <w:r w:rsidRPr="0034116D">
        <w:rPr>
          <w:sz w:val="28"/>
          <w:szCs w:val="28"/>
        </w:rPr>
        <w:t xml:space="preserve">1.3. Настоящий Стандарт подготовлен в соответствии с </w:t>
      </w:r>
      <w:r w:rsidRPr="0034116D">
        <w:rPr>
          <w:sz w:val="28"/>
          <w:szCs w:val="28"/>
          <w:lang w:eastAsia="ar-SA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</w:t>
      </w:r>
      <w:r w:rsidR="003B45F6">
        <w:rPr>
          <w:sz w:val="28"/>
          <w:szCs w:val="28"/>
          <w:lang w:eastAsia="ar-SA"/>
        </w:rPr>
        <w:t xml:space="preserve"> г.</w:t>
      </w:r>
      <w:r w:rsidRPr="0034116D">
        <w:rPr>
          <w:sz w:val="28"/>
          <w:szCs w:val="28"/>
          <w:lang w:eastAsia="ar-SA"/>
        </w:rPr>
        <w:t xml:space="preserve"> № 47К (993).</w:t>
      </w:r>
    </w:p>
    <w:p w:rsidR="00104D61" w:rsidRPr="0034116D" w:rsidRDefault="00104D61" w:rsidP="0034116D">
      <w:pPr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1.4. </w:t>
      </w:r>
      <w:proofErr w:type="gramStart"/>
      <w:r w:rsidRPr="0034116D">
        <w:rPr>
          <w:sz w:val="28"/>
          <w:szCs w:val="28"/>
        </w:rPr>
        <w:t>Стандарт предназначен для использования сотрудниками Контрольно-счетной палаты Нефтекумского</w:t>
      </w:r>
      <w:r w:rsidR="00880E05">
        <w:rPr>
          <w:sz w:val="28"/>
          <w:szCs w:val="28"/>
        </w:rPr>
        <w:t xml:space="preserve"> </w:t>
      </w:r>
      <w:r w:rsidR="00157308">
        <w:rPr>
          <w:sz w:val="28"/>
          <w:szCs w:val="28"/>
        </w:rPr>
        <w:t>муниципального</w:t>
      </w:r>
      <w:r w:rsidRPr="0034116D">
        <w:rPr>
          <w:sz w:val="28"/>
          <w:szCs w:val="28"/>
        </w:rPr>
        <w:t xml:space="preserve"> округа Ставропольского края (далее – Контрольно-счетная палата, КСП) специалистами и экспертами, привлекаемыми КСП (далее – участники внешней проверки при организации и проведении проверки достоверности годовой бюджетной отчетности главных администраторов средств местного бюджета, годового отчета об исполнении местного бюджета (далее – комплекс контрольных и экспертно-аналитических мероприятий, бюджет) и подготовки на их основе Заключения КСП по</w:t>
      </w:r>
      <w:proofErr w:type="gramEnd"/>
      <w:r w:rsidRPr="0034116D">
        <w:rPr>
          <w:sz w:val="28"/>
          <w:szCs w:val="28"/>
        </w:rPr>
        <w:t xml:space="preserve"> отчету об исполнении бюджета за истекший финансовый год.</w:t>
      </w:r>
    </w:p>
    <w:p w:rsidR="00104D61" w:rsidRPr="0034116D" w:rsidRDefault="00104D61" w:rsidP="0034116D">
      <w:pPr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Под комплексом контрольных и экспертно-аналитических мероприятий в настоящем Стандарте понимается совокупность взаимосвязанных контрольных и экспертно-аналитических мероприятий, объединенных общим предметом и позволяющих подготовить Заключение КСП на отчет об исполнении бюджета в соответствии с требованиями бюджетного законодательства.</w:t>
      </w:r>
    </w:p>
    <w:p w:rsidR="00104D61" w:rsidRPr="0034116D" w:rsidRDefault="00104D61" w:rsidP="0034116D">
      <w:pPr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lastRenderedPageBreak/>
        <w:t>1.5.  В части неурегулированной данным стандартом участникам внешней проверки необходимо руководствоваться действующими в Контрольно-счетной палате стандартами, регламентирующими порядок проведения контрольных и экспертно-аналитических мероприятий.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1.6. При организации и проведении </w:t>
      </w:r>
      <w:proofErr w:type="gramStart"/>
      <w:r w:rsidRPr="0034116D">
        <w:rPr>
          <w:sz w:val="28"/>
          <w:szCs w:val="28"/>
        </w:rPr>
        <w:t>проверки достоверности годовой бюджетной отчетности главных администраторов средств</w:t>
      </w:r>
      <w:proofErr w:type="gramEnd"/>
      <w:r w:rsidRPr="0034116D">
        <w:rPr>
          <w:sz w:val="28"/>
          <w:szCs w:val="28"/>
        </w:rPr>
        <w:t xml:space="preserve"> бюджета, годового отчета об исполнении бюджета участники внешней проверки руководствуются:</w:t>
      </w:r>
    </w:p>
    <w:p w:rsidR="00104D61" w:rsidRPr="0034116D" w:rsidRDefault="00104D61" w:rsidP="0034116D">
      <w:pPr>
        <w:ind w:firstLine="709"/>
        <w:contextualSpacing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Бюджетным Кодексом Российской Федерации;</w:t>
      </w:r>
    </w:p>
    <w:p w:rsidR="00104D61" w:rsidRPr="0034116D" w:rsidRDefault="00104D61" w:rsidP="0034116D">
      <w:pPr>
        <w:ind w:firstLine="709"/>
        <w:contextualSpacing/>
        <w:jc w:val="both"/>
        <w:rPr>
          <w:sz w:val="28"/>
          <w:szCs w:val="28"/>
        </w:rPr>
      </w:pPr>
      <w:r w:rsidRPr="00B96A69">
        <w:rPr>
          <w:sz w:val="28"/>
          <w:szCs w:val="28"/>
        </w:rPr>
        <w:t>- </w:t>
      </w:r>
      <w:hyperlink r:id="rId8" w:history="1">
        <w:r w:rsidR="00B96A69" w:rsidRPr="00B96A6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07.02.2011 N 6-ФЗ (ред. от 31.07.2023)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  </w:r>
      </w:hyperlink>
      <w:r w:rsidRPr="0034116D">
        <w:rPr>
          <w:sz w:val="28"/>
          <w:szCs w:val="28"/>
        </w:rPr>
        <w:t>»;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Положением о КСП;</w:t>
      </w:r>
    </w:p>
    <w:p w:rsidR="00104D61" w:rsidRPr="0034116D" w:rsidRDefault="00104D61" w:rsidP="00341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- Положением о бюджетном процессе </w:t>
      </w:r>
      <w:proofErr w:type="gramStart"/>
      <w:r w:rsidRPr="0034116D">
        <w:rPr>
          <w:sz w:val="28"/>
          <w:szCs w:val="28"/>
        </w:rPr>
        <w:t>в</w:t>
      </w:r>
      <w:proofErr w:type="gramEnd"/>
      <w:r w:rsidRPr="0034116D">
        <w:rPr>
          <w:sz w:val="28"/>
          <w:szCs w:val="28"/>
        </w:rPr>
        <w:t xml:space="preserve"> </w:t>
      </w:r>
      <w:proofErr w:type="gramStart"/>
      <w:r w:rsidRPr="0034116D">
        <w:rPr>
          <w:sz w:val="28"/>
          <w:szCs w:val="28"/>
        </w:rPr>
        <w:t>Нефтекумском</w:t>
      </w:r>
      <w:proofErr w:type="gramEnd"/>
      <w:r w:rsidRPr="0034116D">
        <w:rPr>
          <w:sz w:val="28"/>
          <w:szCs w:val="28"/>
        </w:rPr>
        <w:t xml:space="preserve"> </w:t>
      </w:r>
      <w:r w:rsidR="00157308">
        <w:rPr>
          <w:sz w:val="28"/>
          <w:szCs w:val="28"/>
        </w:rPr>
        <w:t>муниципально</w:t>
      </w:r>
      <w:r w:rsidR="006F336A">
        <w:rPr>
          <w:sz w:val="28"/>
          <w:szCs w:val="28"/>
        </w:rPr>
        <w:t>м</w:t>
      </w:r>
      <w:r w:rsidR="00157308" w:rsidRPr="0034116D">
        <w:rPr>
          <w:sz w:val="28"/>
          <w:szCs w:val="28"/>
        </w:rPr>
        <w:t xml:space="preserve"> </w:t>
      </w:r>
      <w:r w:rsidRPr="0034116D">
        <w:rPr>
          <w:sz w:val="28"/>
          <w:szCs w:val="28"/>
        </w:rPr>
        <w:t>округе Ставропольского края;</w:t>
      </w:r>
    </w:p>
    <w:p w:rsidR="00104D61" w:rsidRPr="0034116D" w:rsidRDefault="00104D61" w:rsidP="00341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- Уставом Нефтекумского </w:t>
      </w:r>
      <w:r w:rsidR="00B96A69">
        <w:rPr>
          <w:sz w:val="28"/>
          <w:szCs w:val="28"/>
        </w:rPr>
        <w:t>муниципального</w:t>
      </w:r>
      <w:r w:rsidRPr="0034116D">
        <w:rPr>
          <w:sz w:val="28"/>
          <w:szCs w:val="28"/>
        </w:rPr>
        <w:t xml:space="preserve"> округа Ставропольского края;</w:t>
      </w:r>
    </w:p>
    <w:p w:rsidR="00104D61" w:rsidRPr="0034116D" w:rsidRDefault="00104D61" w:rsidP="0034116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Федеральными законами, нормативными правовыми актами в зависимости от специфики объекта проверки и рассматриваемых вопросов;</w:t>
      </w:r>
    </w:p>
    <w:p w:rsidR="00104D61" w:rsidRPr="0034116D" w:rsidRDefault="00104D61" w:rsidP="0034116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Методическими рекомендациями, разработанными в развитие Стандарта (при наличии).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1.7. Целью Стандарта является установление единых организационно-правовых, информационных, методических основ проведения комплекса контрольных и экспертно-аналитических мероприятий и подготовки Заключения КСП по отчету об исполнении бюджета за истекший финансовый год (далее - Заключения КСП).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1.8. Задачи, решаемые Стандартом: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определение основных этапов организации и проведения комплекса контрольных и экспертно-аналитических мероприятий и подготовки Заключения КСП;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установление требований к содержанию комплекса контрольных и экспертно-аналитических мероприятий и оформлению результатов его проведения;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определение структуры, содержания и основных требований к Заключению КСП;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установление взаимодействия между участниками внешней проверки в ходе проведения контрольных и экспертно-аналитических мероприятий и подготовки Заключения КСП.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1.9. Объекты внешней проверки: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- финансовое управление администрации Нефтекумского </w:t>
      </w:r>
      <w:r w:rsidR="00B96A69">
        <w:rPr>
          <w:sz w:val="28"/>
          <w:szCs w:val="28"/>
        </w:rPr>
        <w:t>муниципального</w:t>
      </w:r>
      <w:r w:rsidRPr="0034116D">
        <w:rPr>
          <w:sz w:val="28"/>
          <w:szCs w:val="28"/>
        </w:rPr>
        <w:t xml:space="preserve"> округа Ставропольского края, организующее исполнение бюджета;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lastRenderedPageBreak/>
        <w:t>- главные администраторы бюджетных средств – органы местного самоуправления, отраслевые (функциональные) и территориальные органы администрации муниципального образования, муниципальные органы.</w:t>
      </w:r>
    </w:p>
    <w:p w:rsidR="00104D61" w:rsidRPr="0034116D" w:rsidRDefault="00104D61" w:rsidP="0034116D">
      <w:pPr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1.10. Основные термины и понятия применяются в соответствии с Бюджетным Кодексом Российской Федерации.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4D61" w:rsidRDefault="00104D61" w:rsidP="0066407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116D">
        <w:rPr>
          <w:b/>
          <w:bCs/>
          <w:kern w:val="32"/>
          <w:sz w:val="28"/>
          <w:szCs w:val="28"/>
        </w:rPr>
        <w:t>2. Основные этапы проведения внешней проверки</w:t>
      </w:r>
    </w:p>
    <w:p w:rsidR="00F54485" w:rsidRPr="0034116D" w:rsidRDefault="00F54485" w:rsidP="0066407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104D61" w:rsidRPr="0034116D" w:rsidRDefault="00104D61" w:rsidP="0034116D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2.1. Внешняя проверка отчета об исполнении бюджета включает в себя следующие этапы: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подготовительный этап;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камеральная проверка отчетности главных администраторов бюджетных средств;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комплекс контрольных и экспертно-аналитических мероприятий;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подготовка Заключения КСП.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2.2. На подготовительном этапе изучается нормативно-правовая база в части исполнения решения о бюджете муниципального образования за истекший финансовый год, формирования бюджетной отчетности, разрабатывается схема взаимодействия участников внешней проверки. Также анализируются данные ранее проведенных самостоятельных контрольных и (или) экспертно-аналитических мероприятий по проверке исполнения бюджета за истекший финансовый год.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2.3. С момента представления главными администраторами бюджетных средств годовой бюджетной отчетности осуществляется камеральная проверка полученных документов.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4116D">
        <w:rPr>
          <w:sz w:val="28"/>
          <w:szCs w:val="28"/>
        </w:rPr>
        <w:t xml:space="preserve">Камеральная проверка включает в себя проверку своевременности и полноты представленных документов, соблюдение требований порядка составления отчетности, полноты заполнения реквизитов представленных форм отчетности, соответствие отчетности, представленной на бумажных носителях электронной версии, соблюдение контрольных соотношений, соответствие плановых показателей решению о бюджете муниципального образования за истекший финансовый год, сводной бюджетной росписи. </w:t>
      </w:r>
      <w:proofErr w:type="gramEnd"/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2.4. Комплекс контрольных и экспертно-аналитических мероприятий включает в себя проверки достоверности бюджетной отчетности главных администраторов бюджетных средств и иные тематические контрольные и экспертно-аналитические проверки (при необходимости) по вопросам, влияющим на формирование бюджетной отчетности.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Комплекс контрольных мероприятий осуществляется в соответствии со Стандартом финансового контроля КСП «Общие правила проведения контрольного мероприятия» с оформлением по итогам проверок соответствующих актов. 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2.5. Заключение Контрольно-счетной палаты по отчету об исполнении бюджета за истекший финансовый год подготавливается на основе: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- результатов камеральной проверки отчета об исполнении бюджета и </w:t>
      </w:r>
      <w:r w:rsidRPr="0034116D">
        <w:rPr>
          <w:sz w:val="28"/>
          <w:szCs w:val="28"/>
        </w:rPr>
        <w:lastRenderedPageBreak/>
        <w:t>бюджетной отчетности главных администраторов бюджетных средств;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результатов комплекса контрольных и экспертно-аналитических мероприятий;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иных документов и материалов, характеризующих исполнение бюджета за истекший год, представленных с годовым отчетом об исполнении бюджета, а также по запросам КСП.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D61" w:rsidRDefault="00104D61" w:rsidP="00F5448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116D">
        <w:rPr>
          <w:b/>
          <w:bCs/>
          <w:kern w:val="32"/>
          <w:sz w:val="28"/>
          <w:szCs w:val="28"/>
        </w:rPr>
        <w:t>3. Комплекс контрольных мероприятий</w:t>
      </w:r>
    </w:p>
    <w:p w:rsidR="00F54485" w:rsidRPr="0034116D" w:rsidRDefault="00F54485" w:rsidP="00F5448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3.1. Целью проведения комплекса контрольных мероприятий является оценка достоверности отчетности об исполнении бюджета, выявление нарушений и недостатков, а также их возможных последствий.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3.2. Задачи контрольных мероприятий следующие: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- установление </w:t>
      </w:r>
      <w:proofErr w:type="gramStart"/>
      <w:r w:rsidRPr="0034116D">
        <w:rPr>
          <w:sz w:val="28"/>
          <w:szCs w:val="28"/>
        </w:rPr>
        <w:t>корректности заполнения отчетных форм главного администратора бюджетных средств</w:t>
      </w:r>
      <w:proofErr w:type="gramEnd"/>
      <w:r w:rsidRPr="0034116D">
        <w:rPr>
          <w:sz w:val="28"/>
          <w:szCs w:val="28"/>
        </w:rPr>
        <w:t xml:space="preserve"> в части суммирования соответствующих данных подведомственных получателей бюджетных средств;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установление законности составления бюджетной росписи и доведения лимитов бюджетных обязательств;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установление своевременности и полноты формирования муниципальных заданий, а также соглашений о порядке и условиях предоставления субсидии на финансовое обеспечение выполнения муниципального задания;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установление наличия и законности перемещений бюджетных ассигнований;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определение результативности бюджетных ассигнований на основе анализа отчетных данных;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установление соответствия бюджетной отчетности регистрам бухгалтерского учета и первичным документам;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 установление причин выявленных нарушений и недостатков.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3.3. При осуществлении контрольного мероприятия главные администраторы бюджетных средств (ГАБС) проверяются как: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главные администраторы доходов бюджета;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администраторы доходов бюджета;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главные администраторы источников финансирования бюджета;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администраторы источников финансирования бюджета;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главные распорядители средств бюджета (ГРБС);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распорядители средств бюджета по подведомственным получателям;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органы, регулирующие предоставление субсидий;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получатели бюджетных средств.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3.4. </w:t>
      </w:r>
      <w:proofErr w:type="gramStart"/>
      <w:r w:rsidRPr="0034116D">
        <w:rPr>
          <w:sz w:val="28"/>
          <w:szCs w:val="28"/>
        </w:rPr>
        <w:t xml:space="preserve">Оценка отчета об исполнении бюджета по доходам включает в себя определение соответствия показателей бюджетной отчетности показателям, учтенным в кассовом плане бюджета, анализ выполнения данных показателей, анализ эффективности деятельности главного администратора доходов по контролю правильности исчисления, полноты и своевременности </w:t>
      </w:r>
      <w:r w:rsidRPr="0034116D">
        <w:rPr>
          <w:sz w:val="28"/>
          <w:szCs w:val="28"/>
        </w:rPr>
        <w:lastRenderedPageBreak/>
        <w:t>уплаты платежей в бюджет, взыскания и принятия решений по возврату излишне уплаченных платежей.</w:t>
      </w:r>
      <w:proofErr w:type="gramEnd"/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3.5. Проверка использования бюджетных ассигнований включает в себя: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анализ обоснованности внесения изменений в бюджетную смету, роспись;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анализ выполнения показателей, утвержденных сводной бюджетной росписью;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анализ причин неиспользования бюджетных ассигнований;</w:t>
      </w:r>
    </w:p>
    <w:p w:rsidR="00104D61" w:rsidRPr="0034116D" w:rsidRDefault="00104D61" w:rsidP="003411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- подтверждение расходов регистрами учета и первичными документами (может быть </w:t>
      </w:r>
      <w:proofErr w:type="gramStart"/>
      <w:r w:rsidRPr="0034116D">
        <w:rPr>
          <w:sz w:val="28"/>
          <w:szCs w:val="28"/>
        </w:rPr>
        <w:t>проведен</w:t>
      </w:r>
      <w:proofErr w:type="gramEnd"/>
      <w:r w:rsidRPr="0034116D">
        <w:rPr>
          <w:sz w:val="28"/>
          <w:szCs w:val="28"/>
        </w:rPr>
        <w:t xml:space="preserve"> выборочным способом). 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3.6. Проверке и анализу подлежит каждая форма бюджетной отчетности, включая Пояснительную записку к отчету.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34116D">
        <w:rPr>
          <w:sz w:val="28"/>
          <w:szCs w:val="28"/>
        </w:rPr>
        <w:t xml:space="preserve">3.7. При рассмотрении </w:t>
      </w:r>
      <w:proofErr w:type="gramStart"/>
      <w:r w:rsidRPr="0034116D">
        <w:rPr>
          <w:sz w:val="28"/>
          <w:szCs w:val="28"/>
        </w:rPr>
        <w:t>вопросов результативности деятельности главных администраторов бюджетных средств</w:t>
      </w:r>
      <w:proofErr w:type="gramEnd"/>
      <w:r w:rsidRPr="0034116D">
        <w:rPr>
          <w:sz w:val="28"/>
          <w:szCs w:val="28"/>
        </w:rPr>
        <w:t xml:space="preserve"> рекомендуется использовать отчеты об исполнении муниципальных программ, ведомственных целевых программ.</w:t>
      </w:r>
    </w:p>
    <w:p w:rsidR="00104D61" w:rsidRDefault="00104D61" w:rsidP="009128A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116D">
        <w:rPr>
          <w:b/>
          <w:bCs/>
          <w:kern w:val="32"/>
          <w:sz w:val="28"/>
          <w:szCs w:val="28"/>
        </w:rPr>
        <w:t>4. Подготовка Заключения КСП</w:t>
      </w:r>
    </w:p>
    <w:p w:rsidR="009128A3" w:rsidRPr="0034116D" w:rsidRDefault="009128A3" w:rsidP="009128A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4.1. Заключение КСП по отчету об исполнении бюджета включает в себя следующие разделы: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Общие положения;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Годовая бюджетная отчетность и результаты внешней проверки бюджетной отчетности главных администраторов бюджетных средств;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Анализ плановых показателей основных характеристик бюджета;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Исполнение бюджета по доходам;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Исполнение бюджета по расходам;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Исполнение программной части бюджета;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Результат исполнения бюджета;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Состояние муниципального долга;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- Выводы и предложения.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4.2. Общие положения содержат информацию о соответствии состава бюджетной отчетности требованиям Инструкции о порядке составления и представления отчетности, о соблюдении сроков её представления в Контрольно-счетную палату, о соответствии показателей отчета об исполнении бюджета суммарным показателям бюджетной отчетности главных администраторов бюджетных средств.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4.3. Анализ плановых показателей основных характеристик бюджета анализируется согласно принятым в истекшем году решениям по внесению изменений в бюджет.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В данном разделе отражаются основные причины вносимых изменений как в целом по бюджету, так и в разрезе отдельных администраторов бюджетных средств.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4.4. Исполнение бюджета по доходам анализируется в разрезе </w:t>
      </w:r>
      <w:r w:rsidRPr="0034116D">
        <w:rPr>
          <w:sz w:val="28"/>
          <w:szCs w:val="28"/>
        </w:rPr>
        <w:lastRenderedPageBreak/>
        <w:t xml:space="preserve">налоговых, неналоговых доходов и безвозмездных поступлений от других бюджетов бюджетной системы. 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Налоговые и неналоговые доходы анализируются в разрезе основных видов, безвозмездные поступления – по наиболее </w:t>
      </w:r>
      <w:proofErr w:type="gramStart"/>
      <w:r w:rsidRPr="0034116D">
        <w:rPr>
          <w:sz w:val="28"/>
          <w:szCs w:val="28"/>
        </w:rPr>
        <w:t>значительным</w:t>
      </w:r>
      <w:proofErr w:type="gramEnd"/>
      <w:r w:rsidRPr="0034116D">
        <w:rPr>
          <w:sz w:val="28"/>
          <w:szCs w:val="28"/>
        </w:rPr>
        <w:t xml:space="preserve"> в суммовом выражении. Исполнение бюджета по доходам анализируется с точки зрения соответствия Основным направлениям бюджетной и налоговой политики.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В данном разделе отражается выполнение прогнозных значений по доходам, устанавливаются причины и последствия отклонений от плановых значений.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4.5. Исполнение бюджета по расходам анализируется с точки зрения соответствия Основным направлениям бюджетной и налоговой политики.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Определяется освоение бюджетных ассигнований в разрезе функциональной и ведомственной структуры расходов бюджета, муниципальных заданий, выявляются причины </w:t>
      </w:r>
      <w:proofErr w:type="spellStart"/>
      <w:r w:rsidRPr="0034116D">
        <w:rPr>
          <w:sz w:val="28"/>
          <w:szCs w:val="28"/>
        </w:rPr>
        <w:t>неосвоения</w:t>
      </w:r>
      <w:proofErr w:type="spellEnd"/>
      <w:r w:rsidRPr="0034116D">
        <w:rPr>
          <w:sz w:val="28"/>
          <w:szCs w:val="28"/>
        </w:rPr>
        <w:t>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Отдельно рассматривается использование резервного фонда администрации Нефтекумского </w:t>
      </w:r>
      <w:r w:rsidR="00B96A69">
        <w:rPr>
          <w:sz w:val="28"/>
          <w:szCs w:val="28"/>
        </w:rPr>
        <w:t>муниципального</w:t>
      </w:r>
      <w:r w:rsidRPr="0034116D">
        <w:rPr>
          <w:sz w:val="28"/>
          <w:szCs w:val="28"/>
        </w:rPr>
        <w:t xml:space="preserve"> округа Ставропольского края.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4.6. Исполнение программной части бюджета раскрывается на основе анализа бюджетных ассигнований, выделенных на реализацию муниципальных и ведомственных программ (при наличии). Приводится динамика ассигнований в целом по программам и в разрезе переходящих программ. Устанавливаются причины внесения изменений в программы, </w:t>
      </w:r>
      <w:proofErr w:type="spellStart"/>
      <w:r w:rsidRPr="0034116D">
        <w:rPr>
          <w:sz w:val="28"/>
          <w:szCs w:val="28"/>
        </w:rPr>
        <w:t>неосвоения</w:t>
      </w:r>
      <w:proofErr w:type="spellEnd"/>
      <w:r w:rsidRPr="0034116D">
        <w:rPr>
          <w:sz w:val="28"/>
          <w:szCs w:val="28"/>
        </w:rPr>
        <w:t xml:space="preserve"> бюджетных ассигнований. Определяется влияние изменений на результативность программ. 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4.7. Результатом исполнения бюджета является профицит или дефицит бюджета. Проводится сравнение плановых и фактических показателей. Устанавливаются факторы, повлиявшие на результат. Определяются источники финансирования дефицита бюджета.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4.8. Состояние муниципального долга рассматривается как в целом по бюджету за счет привлечения сторонних сре</w:t>
      </w:r>
      <w:proofErr w:type="gramStart"/>
      <w:r w:rsidRPr="0034116D">
        <w:rPr>
          <w:sz w:val="28"/>
          <w:szCs w:val="28"/>
        </w:rPr>
        <w:t>дств в к</w:t>
      </w:r>
      <w:proofErr w:type="gramEnd"/>
      <w:r w:rsidRPr="0034116D">
        <w:rPr>
          <w:sz w:val="28"/>
          <w:szCs w:val="28"/>
        </w:rPr>
        <w:t>ачестве источника финансирования дефицита бюджета и за счет предоставления муниципальных гарантий, так и в разрезе главных администраторов бюджетных средств в части дебиторской и кредиторской задолженности.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4.9. Выявляемые в ходе внешней проверки другие нарушения и недостатки, в том числе в части оформления форм, таблиц и текстовой части годовой бюджетной отчетности отражаются в соответствующем разделе Заключения КСП.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4.10. По итогам внешней проверки формулируется вывод о достоверности представленного отчета об исполнении бюджета. Обобщаются выводы по каждому разделу Заключения, выявляются причинно-следственные связи и разрабатываются предложения в части повышения эффективности бюджетного процесса.</w:t>
      </w: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4D61" w:rsidRPr="0034116D" w:rsidRDefault="00104D61" w:rsidP="003411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4D61" w:rsidRPr="0034116D" w:rsidRDefault="00B96A69" w:rsidP="00E947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04D61" w:rsidRPr="0034116D">
        <w:rPr>
          <w:sz w:val="28"/>
          <w:szCs w:val="28"/>
        </w:rPr>
        <w:t xml:space="preserve">риложение №1 </w:t>
      </w:r>
    </w:p>
    <w:p w:rsidR="00104D61" w:rsidRPr="0034116D" w:rsidRDefault="00104D61" w:rsidP="0034116D">
      <w:pPr>
        <w:numPr>
          <w:ilvl w:val="3"/>
          <w:numId w:val="1"/>
        </w:numPr>
        <w:suppressAutoHyphens/>
        <w:jc w:val="right"/>
        <w:textAlignment w:val="top"/>
        <w:rPr>
          <w:sz w:val="28"/>
          <w:szCs w:val="28"/>
        </w:rPr>
      </w:pPr>
      <w:r w:rsidRPr="0034116D">
        <w:rPr>
          <w:color w:val="000000"/>
          <w:sz w:val="28"/>
          <w:szCs w:val="28"/>
        </w:rPr>
        <w:t xml:space="preserve">к СВМФК 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center"/>
        <w:rPr>
          <w:sz w:val="28"/>
          <w:szCs w:val="28"/>
        </w:rPr>
      </w:pPr>
    </w:p>
    <w:p w:rsidR="00104D61" w:rsidRDefault="00104D61" w:rsidP="0034116D">
      <w:pPr>
        <w:jc w:val="center"/>
        <w:rPr>
          <w:b/>
          <w:sz w:val="28"/>
          <w:szCs w:val="28"/>
        </w:rPr>
      </w:pPr>
      <w:r w:rsidRPr="0034116D">
        <w:rPr>
          <w:b/>
          <w:sz w:val="28"/>
          <w:szCs w:val="28"/>
        </w:rPr>
        <w:t>ЗАКЛЮЧЕНИЕ</w:t>
      </w:r>
      <w:r w:rsidR="009B3EC8">
        <w:rPr>
          <w:b/>
          <w:sz w:val="28"/>
          <w:szCs w:val="28"/>
        </w:rPr>
        <w:t xml:space="preserve"> № ____ГАБС</w:t>
      </w:r>
    </w:p>
    <w:p w:rsidR="00E94702" w:rsidRPr="0034116D" w:rsidRDefault="00E94702" w:rsidP="0034116D">
      <w:pPr>
        <w:jc w:val="center"/>
        <w:rPr>
          <w:b/>
          <w:sz w:val="28"/>
          <w:szCs w:val="28"/>
        </w:rPr>
      </w:pPr>
    </w:p>
    <w:p w:rsidR="00104D61" w:rsidRPr="0034116D" w:rsidRDefault="00104D61" w:rsidP="009B3EC8">
      <w:pPr>
        <w:jc w:val="center"/>
        <w:rPr>
          <w:b/>
          <w:sz w:val="28"/>
          <w:szCs w:val="28"/>
        </w:rPr>
      </w:pPr>
      <w:r w:rsidRPr="0034116D">
        <w:rPr>
          <w:b/>
          <w:sz w:val="28"/>
          <w:szCs w:val="28"/>
        </w:rPr>
        <w:t xml:space="preserve">по результатам внешней проверки </w:t>
      </w:r>
      <w:r w:rsidR="009B3EC8">
        <w:rPr>
          <w:b/>
          <w:sz w:val="28"/>
          <w:szCs w:val="28"/>
        </w:rPr>
        <w:t>годовой</w:t>
      </w:r>
      <w:r w:rsidRPr="0034116D">
        <w:rPr>
          <w:b/>
          <w:sz w:val="28"/>
          <w:szCs w:val="28"/>
        </w:rPr>
        <w:t xml:space="preserve"> бюджетной отчетности </w:t>
      </w:r>
      <w:r w:rsidR="009B3EC8">
        <w:rPr>
          <w:b/>
          <w:sz w:val="28"/>
          <w:szCs w:val="28"/>
        </w:rPr>
        <w:t xml:space="preserve">– наименование ГАБС за </w:t>
      </w:r>
      <w:proofErr w:type="spellStart"/>
      <w:r w:rsidR="009B3EC8">
        <w:rPr>
          <w:b/>
          <w:sz w:val="28"/>
          <w:szCs w:val="28"/>
        </w:rPr>
        <w:t>______год</w:t>
      </w:r>
      <w:proofErr w:type="spellEnd"/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9B3EC8" w:rsidP="0034116D">
      <w:pPr>
        <w:tabs>
          <w:tab w:val="left" w:pos="864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«__»___</w:t>
      </w:r>
      <w:r w:rsidR="00104D61" w:rsidRPr="0034116D">
        <w:rPr>
          <w:sz w:val="28"/>
          <w:szCs w:val="28"/>
        </w:rPr>
        <w:t>______ 20__ г</w:t>
      </w:r>
      <w:r>
        <w:rPr>
          <w:sz w:val="28"/>
          <w:szCs w:val="28"/>
        </w:rPr>
        <w:t>.</w:t>
      </w:r>
      <w:r w:rsidR="00104D61" w:rsidRPr="0034116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г. Нефтекумск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C76675" w:rsidP="00341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проведения: </w:t>
      </w:r>
      <w:r w:rsidR="00104D61" w:rsidRPr="0034116D">
        <w:rPr>
          <w:sz w:val="28"/>
          <w:szCs w:val="28"/>
        </w:rPr>
        <w:t xml:space="preserve">Заключение Контрольно – счетной палаты Нефтекумского </w:t>
      </w:r>
      <w:r w:rsidR="006F336A">
        <w:rPr>
          <w:sz w:val="28"/>
          <w:szCs w:val="28"/>
        </w:rPr>
        <w:t>муниципального</w:t>
      </w:r>
      <w:r w:rsidR="00104D61" w:rsidRPr="0034116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104D61" w:rsidRPr="0034116D">
        <w:rPr>
          <w:sz w:val="28"/>
          <w:szCs w:val="28"/>
        </w:rPr>
        <w:t xml:space="preserve">Ставропольского края о результатах внешней проверки достоверности, полноты и соответствия нормативным требованиям составления и предоставления бюджетной отчетности </w:t>
      </w:r>
      <w:r w:rsidR="00104D61" w:rsidRPr="0034116D">
        <w:rPr>
          <w:i/>
          <w:sz w:val="28"/>
          <w:szCs w:val="28"/>
        </w:rPr>
        <w:t>– (наименование ГАБС)</w:t>
      </w:r>
      <w:r w:rsidR="00104D61" w:rsidRPr="0034116D">
        <w:rPr>
          <w:sz w:val="28"/>
          <w:szCs w:val="28"/>
        </w:rPr>
        <w:t xml:space="preserve"> подготовлено в соответствии с требованиями статьи 264.4 Бюджетного кодекса Российской Федерации, ст…… Положения о бюджетном процессе в Нефтекумском </w:t>
      </w:r>
      <w:r w:rsidR="006F336A">
        <w:rPr>
          <w:sz w:val="28"/>
          <w:szCs w:val="28"/>
        </w:rPr>
        <w:t>муниципальном</w:t>
      </w:r>
      <w:r w:rsidR="00104D61" w:rsidRPr="0034116D">
        <w:rPr>
          <w:sz w:val="28"/>
          <w:szCs w:val="28"/>
        </w:rPr>
        <w:t xml:space="preserve"> округе Ставропольского края, на основании п.__ плана работы</w:t>
      </w:r>
      <w:proofErr w:type="gramStart"/>
      <w:r w:rsidR="00104D61" w:rsidRPr="0034116D">
        <w:rPr>
          <w:sz w:val="28"/>
          <w:szCs w:val="28"/>
        </w:rPr>
        <w:t xml:space="preserve"> К</w:t>
      </w:r>
      <w:proofErr w:type="gramEnd"/>
      <w:r w:rsidR="00104D61" w:rsidRPr="0034116D">
        <w:rPr>
          <w:sz w:val="28"/>
          <w:szCs w:val="28"/>
        </w:rPr>
        <w:t xml:space="preserve">онтрольно – счетной палаты Нефтекумского </w:t>
      </w:r>
      <w:r w:rsidR="00B96A69">
        <w:rPr>
          <w:sz w:val="28"/>
          <w:szCs w:val="28"/>
        </w:rPr>
        <w:t xml:space="preserve">муниципального </w:t>
      </w:r>
      <w:r w:rsidR="00104D61" w:rsidRPr="0034116D">
        <w:rPr>
          <w:sz w:val="28"/>
          <w:szCs w:val="28"/>
        </w:rPr>
        <w:t>округа Ставропольского края на 20__ год, утвержденного приказом председателя Контрольно-счетной палат</w:t>
      </w:r>
      <w:r w:rsidR="009749DD">
        <w:rPr>
          <w:sz w:val="28"/>
          <w:szCs w:val="28"/>
        </w:rPr>
        <w:t>ы</w:t>
      </w:r>
      <w:r w:rsidR="00104D61" w:rsidRPr="0034116D">
        <w:rPr>
          <w:sz w:val="28"/>
          <w:szCs w:val="28"/>
        </w:rPr>
        <w:t xml:space="preserve"> Нефтекумского </w:t>
      </w:r>
      <w:r w:rsidR="00B96A69">
        <w:rPr>
          <w:sz w:val="28"/>
          <w:szCs w:val="28"/>
        </w:rPr>
        <w:t>муниципального</w:t>
      </w:r>
      <w:r w:rsidR="00104D61" w:rsidRPr="0034116D">
        <w:rPr>
          <w:sz w:val="28"/>
          <w:szCs w:val="28"/>
        </w:rPr>
        <w:t xml:space="preserve"> округа Ставропольского края от _______ № __ и распоряжением председателя</w:t>
      </w:r>
      <w:proofErr w:type="gramStart"/>
      <w:r w:rsidR="00104D61" w:rsidRPr="0034116D">
        <w:rPr>
          <w:sz w:val="28"/>
          <w:szCs w:val="28"/>
        </w:rPr>
        <w:t xml:space="preserve"> К</w:t>
      </w:r>
      <w:proofErr w:type="gramEnd"/>
      <w:r w:rsidR="00104D61" w:rsidRPr="0034116D">
        <w:rPr>
          <w:sz w:val="28"/>
          <w:szCs w:val="28"/>
        </w:rPr>
        <w:t>онтрольно – счетной палат</w:t>
      </w:r>
      <w:r w:rsidR="002E6773">
        <w:rPr>
          <w:sz w:val="28"/>
          <w:szCs w:val="28"/>
        </w:rPr>
        <w:t>ы</w:t>
      </w:r>
      <w:r w:rsidR="00104D61" w:rsidRPr="0034116D">
        <w:rPr>
          <w:sz w:val="28"/>
          <w:szCs w:val="28"/>
        </w:rPr>
        <w:t xml:space="preserve"> Нефтекумского </w:t>
      </w:r>
      <w:r w:rsidR="006F336A">
        <w:rPr>
          <w:sz w:val="28"/>
          <w:szCs w:val="28"/>
        </w:rPr>
        <w:t>муниципального</w:t>
      </w:r>
      <w:r w:rsidR="00104D61" w:rsidRPr="0034116D">
        <w:rPr>
          <w:sz w:val="28"/>
          <w:szCs w:val="28"/>
        </w:rPr>
        <w:t xml:space="preserve"> округа Ставропольского края на проведение проверки от ______ № __.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Цель проверки: 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Объект проверки: 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Проверяемый период деятельности: 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>Срок проведения проверки: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Ответственными за финансово-хозяйственную деятельность в проверяемом периоде являлись: 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>Перечень законодательных и других нормативных правовых актов:</w:t>
      </w:r>
    </w:p>
    <w:p w:rsidR="00104D61" w:rsidRPr="0034116D" w:rsidRDefault="00104D61" w:rsidP="0034116D">
      <w:pPr>
        <w:ind w:firstLine="708"/>
        <w:jc w:val="both"/>
        <w:rPr>
          <w:sz w:val="28"/>
          <w:szCs w:val="28"/>
        </w:rPr>
      </w:pPr>
      <w:r w:rsidRPr="0034116D">
        <w:rPr>
          <w:sz w:val="28"/>
          <w:szCs w:val="28"/>
        </w:rPr>
        <w:t>Заключение подготовлено на основани</w:t>
      </w:r>
      <w:r w:rsidR="002E6773">
        <w:rPr>
          <w:sz w:val="28"/>
          <w:szCs w:val="28"/>
        </w:rPr>
        <w:t xml:space="preserve">и камеральной проверки годовой </w:t>
      </w:r>
      <w:r w:rsidRPr="0034116D">
        <w:rPr>
          <w:sz w:val="28"/>
          <w:szCs w:val="28"/>
        </w:rPr>
        <w:t xml:space="preserve">бюджетной отчетности </w:t>
      </w:r>
      <w:proofErr w:type="spellStart"/>
      <w:r w:rsidRPr="0034116D">
        <w:rPr>
          <w:sz w:val="28"/>
          <w:szCs w:val="28"/>
        </w:rPr>
        <w:t>________за</w:t>
      </w:r>
      <w:proofErr w:type="spellEnd"/>
      <w:r w:rsidRPr="0034116D">
        <w:rPr>
          <w:sz w:val="28"/>
          <w:szCs w:val="28"/>
        </w:rPr>
        <w:t xml:space="preserve"> 20__ год, представленной </w:t>
      </w:r>
      <w:r w:rsidRPr="0034116D">
        <w:rPr>
          <w:i/>
          <w:sz w:val="28"/>
          <w:szCs w:val="28"/>
        </w:rPr>
        <w:t>(ГАБС, дата и куда</w:t>
      </w:r>
      <w:r w:rsidRPr="0034116D">
        <w:rPr>
          <w:sz w:val="28"/>
          <w:szCs w:val="28"/>
        </w:rPr>
        <w:t>). Внешняя проверка включала в себя изучение числовых показателей в финансовой (бухгалтерской) отчетности, рассмотрение основных оценочных показателей годовой отчетности.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sz w:val="28"/>
          <w:szCs w:val="28"/>
        </w:rPr>
      </w:pPr>
      <w:r w:rsidRPr="0034116D">
        <w:rPr>
          <w:sz w:val="28"/>
          <w:szCs w:val="28"/>
        </w:rPr>
        <w:t>общие положения (должностные лица, несущие ответственность за подготовку и представление бюджетной отчетности);</w:t>
      </w: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 сроки и полнота представления отчетности, предмет проверки отчетности по доходам и расходам и т.д.;</w:t>
      </w: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организационный раздел (организационная структура субъекта бюджетной отчетности, количество подведомственных учреждений, </w:t>
      </w:r>
      <w:r w:rsidRPr="0034116D">
        <w:rPr>
          <w:sz w:val="28"/>
          <w:szCs w:val="28"/>
        </w:rPr>
        <w:lastRenderedPageBreak/>
        <w:t xml:space="preserve">основные осуществления деятельности, цели и задачи деятельности); </w:t>
      </w: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sz w:val="28"/>
          <w:szCs w:val="28"/>
        </w:rPr>
      </w:pPr>
      <w:r w:rsidRPr="0034116D">
        <w:rPr>
          <w:sz w:val="28"/>
          <w:szCs w:val="28"/>
        </w:rPr>
        <w:t>результаты деятельности субъекта бюджетной отчетности (анализ соответствующих форм отчетности и раздела пояснительной записки к отчетности);</w:t>
      </w: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b/>
          <w:sz w:val="28"/>
          <w:szCs w:val="28"/>
        </w:rPr>
      </w:pPr>
      <w:r w:rsidRPr="0034116D">
        <w:rPr>
          <w:sz w:val="28"/>
          <w:szCs w:val="28"/>
        </w:rPr>
        <w:t>анализ отчета,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</w: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sz w:val="28"/>
          <w:szCs w:val="28"/>
        </w:rPr>
      </w:pPr>
      <w:r w:rsidRPr="0034116D">
        <w:rPr>
          <w:sz w:val="28"/>
          <w:szCs w:val="28"/>
        </w:rPr>
        <w:t>прочие вопросы деятельности субъекта бюджетной отчетности (в том числе мероприятия внутреннего и внешнего контроля, меры по устранению нарушений, особенности ведения учета и т.д.);</w:t>
      </w: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sz w:val="28"/>
          <w:szCs w:val="28"/>
        </w:rPr>
      </w:pPr>
      <w:r w:rsidRPr="0034116D">
        <w:rPr>
          <w:sz w:val="28"/>
          <w:szCs w:val="28"/>
        </w:rPr>
        <w:t>анализ дебиторской и кредиторской задолженности;</w:t>
      </w:r>
    </w:p>
    <w:p w:rsidR="00104D61" w:rsidRPr="0034116D" w:rsidRDefault="00104D61" w:rsidP="0034116D">
      <w:pPr>
        <w:numPr>
          <w:ilvl w:val="0"/>
          <w:numId w:val="2"/>
        </w:numPr>
        <w:tabs>
          <w:tab w:val="num" w:pos="-2340"/>
        </w:tabs>
        <w:jc w:val="both"/>
        <w:rPr>
          <w:sz w:val="28"/>
          <w:szCs w:val="28"/>
        </w:rPr>
      </w:pPr>
      <w:r w:rsidRPr="0034116D">
        <w:rPr>
          <w:sz w:val="28"/>
          <w:szCs w:val="28"/>
        </w:rPr>
        <w:t>анализ исполнения муницип</w:t>
      </w:r>
      <w:r w:rsidR="00350778">
        <w:rPr>
          <w:sz w:val="28"/>
          <w:szCs w:val="28"/>
        </w:rPr>
        <w:t>альных и ведомственных программ.</w:t>
      </w:r>
    </w:p>
    <w:p w:rsidR="00104D61" w:rsidRPr="0034116D" w:rsidRDefault="00104D61" w:rsidP="00A5345B">
      <w:pPr>
        <w:jc w:val="center"/>
        <w:rPr>
          <w:sz w:val="28"/>
          <w:szCs w:val="28"/>
        </w:rPr>
      </w:pPr>
    </w:p>
    <w:p w:rsidR="00104D61" w:rsidRPr="0034116D" w:rsidRDefault="00A5345B" w:rsidP="00A53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>1. Фактов несвоевременности представления и неполноты бюджетной от</w:t>
      </w:r>
      <w:r w:rsidR="00D2685A">
        <w:rPr>
          <w:sz w:val="28"/>
          <w:szCs w:val="28"/>
        </w:rPr>
        <w:t xml:space="preserve">четности </w:t>
      </w:r>
      <w:proofErr w:type="gramStart"/>
      <w:r w:rsidR="00D2685A">
        <w:rPr>
          <w:sz w:val="28"/>
          <w:szCs w:val="28"/>
        </w:rPr>
        <w:t>выявлено</w:t>
      </w:r>
      <w:proofErr w:type="gramEnd"/>
      <w:r w:rsidR="00D2685A">
        <w:rPr>
          <w:sz w:val="28"/>
          <w:szCs w:val="28"/>
        </w:rPr>
        <w:t>/не выявлено.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2. Фактов недостоверности бюджетной отчетности </w:t>
      </w:r>
      <w:proofErr w:type="gramStart"/>
      <w:r w:rsidRPr="0034116D">
        <w:rPr>
          <w:sz w:val="28"/>
          <w:szCs w:val="28"/>
        </w:rPr>
        <w:t>выявлено</w:t>
      </w:r>
      <w:proofErr w:type="gramEnd"/>
      <w:r w:rsidRPr="0034116D">
        <w:rPr>
          <w:sz w:val="28"/>
          <w:szCs w:val="28"/>
        </w:rPr>
        <w:t xml:space="preserve">/не выявлено. 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326EC2" w:rsidP="00326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>Сотрудник КСП       ___________________   ___________________________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                                        (</w:t>
      </w:r>
      <w:proofErr w:type="spellStart"/>
      <w:r w:rsidRPr="0034116D">
        <w:rPr>
          <w:sz w:val="28"/>
          <w:szCs w:val="28"/>
        </w:rPr>
        <w:t>подпсиь</w:t>
      </w:r>
      <w:proofErr w:type="spellEnd"/>
      <w:r w:rsidRPr="0034116D">
        <w:rPr>
          <w:sz w:val="28"/>
          <w:szCs w:val="28"/>
        </w:rPr>
        <w:t>)                   (расшифровка подписи)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                               ___________________   ___________________________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                                       (подпись)                   (расшифровка подписи)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Заключение получено "____" ______________ 20 </w:t>
      </w:r>
      <w:proofErr w:type="spellStart"/>
      <w:r w:rsidRPr="0034116D">
        <w:rPr>
          <w:sz w:val="28"/>
          <w:szCs w:val="28"/>
        </w:rPr>
        <w:t>___г</w:t>
      </w:r>
      <w:proofErr w:type="spellEnd"/>
      <w:r w:rsidRPr="0034116D">
        <w:rPr>
          <w:sz w:val="28"/>
          <w:szCs w:val="28"/>
        </w:rPr>
        <w:t>.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Руководитель (главный бухгалтер) органа местного самоуправления      </w:t>
      </w: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  <w:r w:rsidRPr="0034116D">
        <w:rPr>
          <w:sz w:val="28"/>
          <w:szCs w:val="28"/>
        </w:rPr>
        <w:t xml:space="preserve">                                                ______________                  ________________ </w:t>
      </w:r>
    </w:p>
    <w:p w:rsidR="00104D61" w:rsidRPr="0034116D" w:rsidRDefault="00104D61" w:rsidP="0034116D">
      <w:pPr>
        <w:jc w:val="both"/>
        <w:rPr>
          <w:i/>
          <w:sz w:val="28"/>
          <w:szCs w:val="28"/>
        </w:rPr>
      </w:pPr>
      <w:r w:rsidRPr="0034116D">
        <w:rPr>
          <w:i/>
          <w:sz w:val="28"/>
          <w:szCs w:val="28"/>
        </w:rPr>
        <w:t xml:space="preserve">                                                             (подпись)                                 (расшифровка подписи)</w:t>
      </w:r>
    </w:p>
    <w:p w:rsidR="00104D61" w:rsidRPr="0034116D" w:rsidRDefault="00104D61" w:rsidP="0034116D">
      <w:pPr>
        <w:jc w:val="both"/>
        <w:rPr>
          <w:i/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</w:p>
    <w:p w:rsidR="00104D61" w:rsidRPr="0034116D" w:rsidRDefault="00104D61" w:rsidP="0034116D">
      <w:pPr>
        <w:numPr>
          <w:ilvl w:val="0"/>
          <w:numId w:val="1"/>
        </w:numPr>
        <w:ind w:left="1429"/>
        <w:jc w:val="both"/>
        <w:rPr>
          <w:sz w:val="28"/>
          <w:szCs w:val="28"/>
        </w:rPr>
      </w:pPr>
    </w:p>
    <w:p w:rsidR="00104D61" w:rsidRPr="0034116D" w:rsidRDefault="00104D61" w:rsidP="0034116D">
      <w:pPr>
        <w:numPr>
          <w:ilvl w:val="0"/>
          <w:numId w:val="1"/>
        </w:numPr>
        <w:ind w:left="1429"/>
        <w:jc w:val="both"/>
        <w:rPr>
          <w:sz w:val="28"/>
          <w:szCs w:val="28"/>
        </w:rPr>
      </w:pPr>
    </w:p>
    <w:p w:rsidR="00104D61" w:rsidRPr="0034116D" w:rsidRDefault="00104D61" w:rsidP="0034116D">
      <w:pPr>
        <w:jc w:val="both"/>
        <w:rPr>
          <w:sz w:val="28"/>
          <w:szCs w:val="28"/>
        </w:rPr>
      </w:pPr>
    </w:p>
    <w:sectPr w:rsidR="00104D61" w:rsidRPr="0034116D" w:rsidSect="00813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EF" w:rsidRDefault="00A53AEF" w:rsidP="00813D15">
      <w:r>
        <w:separator/>
      </w:r>
    </w:p>
  </w:endnote>
  <w:endnote w:type="continuationSeparator" w:id="0">
    <w:p w:rsidR="00A53AEF" w:rsidRDefault="00A53AEF" w:rsidP="0081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15" w:rsidRDefault="00813D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15" w:rsidRDefault="00813D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15" w:rsidRDefault="00813D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EF" w:rsidRDefault="00A53AEF" w:rsidP="00813D15">
      <w:r>
        <w:separator/>
      </w:r>
    </w:p>
  </w:footnote>
  <w:footnote w:type="continuationSeparator" w:id="0">
    <w:p w:rsidR="00A53AEF" w:rsidRDefault="00A53AEF" w:rsidP="0081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15" w:rsidRDefault="00813D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6845"/>
      <w:docPartObj>
        <w:docPartGallery w:val="Page Numbers (Top of Page)"/>
        <w:docPartUnique/>
      </w:docPartObj>
    </w:sdtPr>
    <w:sdtContent>
      <w:p w:rsidR="00813D15" w:rsidRDefault="001B6D52">
        <w:pPr>
          <w:pStyle w:val="a6"/>
          <w:jc w:val="center"/>
        </w:pPr>
        <w:fldSimple w:instr=" PAGE   \* MERGEFORMAT ">
          <w:r w:rsidR="009E37AF">
            <w:rPr>
              <w:noProof/>
            </w:rPr>
            <w:t>3</w:t>
          </w:r>
        </w:fldSimple>
      </w:p>
    </w:sdtContent>
  </w:sdt>
  <w:p w:rsidR="00813D15" w:rsidRDefault="00813D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15" w:rsidRDefault="00813D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60F"/>
    <w:rsid w:val="0002359A"/>
    <w:rsid w:val="00024973"/>
    <w:rsid w:val="00035595"/>
    <w:rsid w:val="000453ED"/>
    <w:rsid w:val="00093B74"/>
    <w:rsid w:val="001012FF"/>
    <w:rsid w:val="00104D61"/>
    <w:rsid w:val="00111C73"/>
    <w:rsid w:val="00157308"/>
    <w:rsid w:val="00173B2D"/>
    <w:rsid w:val="001B6D52"/>
    <w:rsid w:val="001E38E5"/>
    <w:rsid w:val="001F374F"/>
    <w:rsid w:val="00212A99"/>
    <w:rsid w:val="00242070"/>
    <w:rsid w:val="00274582"/>
    <w:rsid w:val="002E6773"/>
    <w:rsid w:val="00312791"/>
    <w:rsid w:val="00316B39"/>
    <w:rsid w:val="00316F6B"/>
    <w:rsid w:val="00326EC2"/>
    <w:rsid w:val="0034116D"/>
    <w:rsid w:val="00350778"/>
    <w:rsid w:val="003B45F6"/>
    <w:rsid w:val="003C34BE"/>
    <w:rsid w:val="004275D9"/>
    <w:rsid w:val="00427AFB"/>
    <w:rsid w:val="00453FE5"/>
    <w:rsid w:val="004937DF"/>
    <w:rsid w:val="004B4A99"/>
    <w:rsid w:val="00572DE7"/>
    <w:rsid w:val="005778B2"/>
    <w:rsid w:val="005C317A"/>
    <w:rsid w:val="005D429E"/>
    <w:rsid w:val="005F660F"/>
    <w:rsid w:val="00610BB4"/>
    <w:rsid w:val="00643D29"/>
    <w:rsid w:val="00664071"/>
    <w:rsid w:val="006B2381"/>
    <w:rsid w:val="006F336A"/>
    <w:rsid w:val="006F62C8"/>
    <w:rsid w:val="00714B1A"/>
    <w:rsid w:val="00720805"/>
    <w:rsid w:val="00752BC0"/>
    <w:rsid w:val="007C3B04"/>
    <w:rsid w:val="007D47C1"/>
    <w:rsid w:val="00813947"/>
    <w:rsid w:val="00813D15"/>
    <w:rsid w:val="008201B7"/>
    <w:rsid w:val="00833310"/>
    <w:rsid w:val="00875840"/>
    <w:rsid w:val="00880E05"/>
    <w:rsid w:val="0089564D"/>
    <w:rsid w:val="008A2723"/>
    <w:rsid w:val="008B2616"/>
    <w:rsid w:val="008B3D28"/>
    <w:rsid w:val="008F2D0F"/>
    <w:rsid w:val="008F5B24"/>
    <w:rsid w:val="00904155"/>
    <w:rsid w:val="009128A3"/>
    <w:rsid w:val="0091329F"/>
    <w:rsid w:val="009667DB"/>
    <w:rsid w:val="00974053"/>
    <w:rsid w:val="009749DD"/>
    <w:rsid w:val="00974C70"/>
    <w:rsid w:val="009959B7"/>
    <w:rsid w:val="00997F1B"/>
    <w:rsid w:val="009B3EC8"/>
    <w:rsid w:val="009B415D"/>
    <w:rsid w:val="009B6AD0"/>
    <w:rsid w:val="009C63F3"/>
    <w:rsid w:val="009D6442"/>
    <w:rsid w:val="009D7445"/>
    <w:rsid w:val="009E037D"/>
    <w:rsid w:val="009E37AF"/>
    <w:rsid w:val="00A41AD1"/>
    <w:rsid w:val="00A5345B"/>
    <w:rsid w:val="00A53AEF"/>
    <w:rsid w:val="00A90726"/>
    <w:rsid w:val="00B1093F"/>
    <w:rsid w:val="00B12370"/>
    <w:rsid w:val="00B758F2"/>
    <w:rsid w:val="00B92B10"/>
    <w:rsid w:val="00B96A69"/>
    <w:rsid w:val="00BA1F3C"/>
    <w:rsid w:val="00BE6B1B"/>
    <w:rsid w:val="00C15174"/>
    <w:rsid w:val="00C547E9"/>
    <w:rsid w:val="00C61CD1"/>
    <w:rsid w:val="00C7171B"/>
    <w:rsid w:val="00C76675"/>
    <w:rsid w:val="00CB6EC6"/>
    <w:rsid w:val="00CE2C79"/>
    <w:rsid w:val="00D2548F"/>
    <w:rsid w:val="00D2685A"/>
    <w:rsid w:val="00D42E2F"/>
    <w:rsid w:val="00D64E45"/>
    <w:rsid w:val="00D87A5F"/>
    <w:rsid w:val="00DE2E4F"/>
    <w:rsid w:val="00E0234F"/>
    <w:rsid w:val="00E57026"/>
    <w:rsid w:val="00E76A0E"/>
    <w:rsid w:val="00E94702"/>
    <w:rsid w:val="00EC17F7"/>
    <w:rsid w:val="00F54485"/>
    <w:rsid w:val="00F77703"/>
    <w:rsid w:val="00F870B5"/>
    <w:rsid w:val="00F9668A"/>
    <w:rsid w:val="00FC0E98"/>
    <w:rsid w:val="00FD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AF"/>
    <w:pPr>
      <w:keepNext/>
      <w:jc w:val="center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3D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3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3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sid w:val="00B96A69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37A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7022011-n-6-fz-ob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7022011-n-6-fz-ob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2022-03-13T06:47:00Z</cp:lastPrinted>
  <dcterms:created xsi:type="dcterms:W3CDTF">2022-03-13T06:44:00Z</dcterms:created>
  <dcterms:modified xsi:type="dcterms:W3CDTF">2023-11-15T07:36:00Z</dcterms:modified>
</cp:coreProperties>
</file>