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9" w:rsidRDefault="004C4FA9" w:rsidP="00403507">
      <w:pPr>
        <w:jc w:val="center"/>
        <w:rPr>
          <w:b/>
          <w:bCs/>
          <w:sz w:val="26"/>
          <w:szCs w:val="26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47980" cy="382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КОНТРОЛЬНО-СЧЕТНАЯ ПАЛАТА </w:t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>НЕФТЕКУМСКОГО</w:t>
      </w:r>
      <w:r w:rsidR="001F6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AC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67FEF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4C4FA9" w:rsidRPr="00D537FA" w:rsidRDefault="004C4FA9" w:rsidP="001F62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№</w:t>
      </w:r>
      <w:r w:rsidR="00945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0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об исполнении бюджета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Нефтекумского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bookmarkStart w:id="0" w:name="_GoBack"/>
      <w:bookmarkEnd w:id="0"/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Pr="0075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C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90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C4FA9" w:rsidRPr="00D13E62" w:rsidRDefault="004C4FA9" w:rsidP="004C4FA9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B91" w:rsidRPr="002C7E15" w:rsidRDefault="00374B91" w:rsidP="00374B9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Pr="002C7E15" w:rsidRDefault="00890787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3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05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г. Нефтекумск</w:t>
      </w:r>
    </w:p>
    <w:p w:rsidR="00374B91" w:rsidRPr="002C7E15" w:rsidRDefault="00374B91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Default="00374B91" w:rsidP="003E3020">
      <w:pPr>
        <w:spacing w:after="0" w:line="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311BA" w:rsidRDefault="00F311BA" w:rsidP="003E3020">
      <w:pPr>
        <w:spacing w:after="0" w:line="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819" w:rsidRPr="00647E3D" w:rsidRDefault="00AB5819" w:rsidP="008C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«Об 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1 квартал 20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 подготовлено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 (далее – БК РФ)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9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>утвержденного решением Думой Нефтекумского  муниципального округа Ставропольского края от 26 сентября 2023г. №142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частями 4 и 5 </w:t>
      </w:r>
      <w:r w:rsidRPr="00647E3D">
        <w:rPr>
          <w:rFonts w:ascii="Times New Roman" w:hAnsi="Times New Roman" w:cs="Times New Roman"/>
          <w:sz w:val="28"/>
          <w:szCs w:val="28"/>
        </w:rPr>
        <w:t>ст</w:t>
      </w:r>
      <w:r w:rsidR="00BC7448" w:rsidRPr="00647E3D">
        <w:rPr>
          <w:rFonts w:ascii="Times New Roman" w:hAnsi="Times New Roman" w:cs="Times New Roman"/>
          <w:sz w:val="28"/>
          <w:szCs w:val="28"/>
        </w:rPr>
        <w:t>атьи</w:t>
      </w:r>
      <w:r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="00647E3D" w:rsidRPr="00647E3D">
        <w:rPr>
          <w:rFonts w:ascii="Times New Roman" w:hAnsi="Times New Roman" w:cs="Times New Roman"/>
          <w:sz w:val="28"/>
          <w:szCs w:val="28"/>
        </w:rPr>
        <w:t>29</w:t>
      </w:r>
      <w:r w:rsidRPr="00647E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Нефтекумском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утвержденного решением Думы Нефтекумского </w:t>
      </w:r>
      <w:r w:rsidR="003D26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44158F" w:rsidRPr="00647E3D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BC7448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20</w:t>
      </w:r>
      <w:r w:rsidR="0044158F" w:rsidRPr="00647E3D">
        <w:rPr>
          <w:rFonts w:ascii="Times New Roman" w:hAnsi="Times New Roman" w:cs="Times New Roman"/>
          <w:sz w:val="28"/>
          <w:szCs w:val="28"/>
        </w:rPr>
        <w:t>23</w:t>
      </w:r>
      <w:r w:rsidR="00DB71BA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№ </w:t>
      </w:r>
      <w:r w:rsidR="0044158F" w:rsidRPr="00647E3D">
        <w:rPr>
          <w:rFonts w:ascii="Times New Roman" w:hAnsi="Times New Roman" w:cs="Times New Roman"/>
          <w:sz w:val="28"/>
          <w:szCs w:val="28"/>
        </w:rPr>
        <w:t>140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процессе).</w:t>
      </w:r>
    </w:p>
    <w:p w:rsidR="00374B91" w:rsidRPr="00647E3D" w:rsidRDefault="00374B91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4AF6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 за 1 квартал 20</w:t>
      </w:r>
      <w:r w:rsidR="006C7E4B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представлен администрацией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5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в Контрольно-счетную палату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27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7E4B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11BA" w:rsidRPr="00647E3D" w:rsidRDefault="00F311BA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1" w:rsidRDefault="00374B91" w:rsidP="003E3020">
      <w:pPr>
        <w:shd w:val="clear" w:color="auto" w:fill="FFFFFF"/>
        <w:spacing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исполнения бюджета Нефтекумского 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B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 за </w:t>
      </w:r>
      <w:r w:rsidR="0024787E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6C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311BA" w:rsidRPr="00F42420" w:rsidRDefault="00F311BA" w:rsidP="003E3020">
      <w:pPr>
        <w:shd w:val="clear" w:color="auto" w:fill="FFFFFF"/>
        <w:spacing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F87" w:rsidRPr="003152CB" w:rsidRDefault="00DB5F87" w:rsidP="00DB5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8D">
        <w:rPr>
          <w:rFonts w:ascii="Times New Roman" w:hAnsi="Times New Roman" w:cs="Times New Roman"/>
          <w:sz w:val="28"/>
          <w:szCs w:val="28"/>
        </w:rPr>
        <w:t xml:space="preserve">Решением Думы Нефтекумского </w:t>
      </w:r>
      <w:r w:rsidRPr="006E668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E668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12 декабря 2023 года № 226</w:t>
      </w:r>
      <w:r w:rsidR="003D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52CB">
        <w:rPr>
          <w:rFonts w:ascii="Times New Roman" w:hAnsi="Times New Roman" w:cs="Times New Roman"/>
          <w:sz w:val="28"/>
          <w:szCs w:val="28"/>
        </w:rPr>
        <w:t xml:space="preserve">О бюджете Нефтекумского </w:t>
      </w:r>
      <w:r w:rsidRPr="00E36EB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3152CB">
        <w:rPr>
          <w:rFonts w:ascii="Times New Roman" w:hAnsi="Times New Roman" w:cs="Times New Roman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sz w:val="28"/>
          <w:szCs w:val="28"/>
        </w:rPr>
        <w:t>уга Ставропольского края на 2024</w:t>
      </w:r>
      <w:r w:rsidRPr="003152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3152C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52CB">
        <w:rPr>
          <w:rFonts w:ascii="Times New Roman" w:hAnsi="Times New Roman" w:cs="Times New Roman"/>
          <w:sz w:val="28"/>
          <w:szCs w:val="28"/>
        </w:rPr>
        <w:t xml:space="preserve"> (далее -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2CB">
        <w:rPr>
          <w:rFonts w:ascii="Times New Roman" w:hAnsi="Times New Roman" w:cs="Times New Roman"/>
          <w:sz w:val="28"/>
          <w:szCs w:val="28"/>
        </w:rPr>
        <w:t xml:space="preserve"> год утвер</w:t>
      </w:r>
      <w:r>
        <w:rPr>
          <w:rFonts w:ascii="Times New Roman" w:hAnsi="Times New Roman" w:cs="Times New Roman"/>
          <w:sz w:val="28"/>
          <w:szCs w:val="28"/>
        </w:rPr>
        <w:t>ждены в объеме 2 161 050,68</w:t>
      </w:r>
      <w:r w:rsidRPr="003152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B5F87" w:rsidRPr="00984EF2" w:rsidRDefault="00DB5F87" w:rsidP="00DB5F87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В </w:t>
      </w:r>
      <w:r w:rsidRPr="00984EF2">
        <w:rPr>
          <w:szCs w:val="28"/>
          <w:lang w:val="en-US"/>
        </w:rPr>
        <w:t>I</w:t>
      </w:r>
      <w:r w:rsidRPr="00984EF2">
        <w:rPr>
          <w:szCs w:val="28"/>
        </w:rPr>
        <w:t xml:space="preserve"> квартале </w:t>
      </w:r>
      <w:r>
        <w:rPr>
          <w:szCs w:val="28"/>
        </w:rPr>
        <w:t>2024</w:t>
      </w:r>
      <w:r w:rsidRPr="00984EF2">
        <w:rPr>
          <w:szCs w:val="28"/>
        </w:rPr>
        <w:t xml:space="preserve"> года фактическое поступление доходов в местный бюджет составило </w:t>
      </w:r>
      <w:r>
        <w:rPr>
          <w:szCs w:val="28"/>
        </w:rPr>
        <w:t>498 782,00</w:t>
      </w:r>
      <w:r w:rsidRPr="00984EF2">
        <w:rPr>
          <w:szCs w:val="28"/>
        </w:rPr>
        <w:t xml:space="preserve"> тыс. рублей или </w:t>
      </w:r>
      <w:r>
        <w:rPr>
          <w:szCs w:val="28"/>
        </w:rPr>
        <w:t xml:space="preserve">23,08 </w:t>
      </w:r>
      <w:r w:rsidRPr="00984EF2">
        <w:rPr>
          <w:szCs w:val="28"/>
        </w:rPr>
        <w:t xml:space="preserve">процента к годовым </w:t>
      </w:r>
      <w:r w:rsidRPr="00984EF2">
        <w:rPr>
          <w:szCs w:val="28"/>
        </w:rPr>
        <w:lastRenderedPageBreak/>
        <w:t xml:space="preserve">плановым назначениям и на </w:t>
      </w:r>
      <w:r>
        <w:rPr>
          <w:szCs w:val="28"/>
        </w:rPr>
        <w:t>44 355,25</w:t>
      </w:r>
      <w:r w:rsidRPr="00984EF2">
        <w:rPr>
          <w:szCs w:val="28"/>
        </w:rPr>
        <w:t>тыс. рублей</w:t>
      </w:r>
      <w:r>
        <w:rPr>
          <w:szCs w:val="28"/>
        </w:rPr>
        <w:t xml:space="preserve"> или 8,17 процента меньше</w:t>
      </w:r>
      <w:r w:rsidRPr="00984EF2">
        <w:rPr>
          <w:szCs w:val="28"/>
        </w:rPr>
        <w:t xml:space="preserve">, чем поступило доходов в </w:t>
      </w:r>
      <w:r>
        <w:rPr>
          <w:szCs w:val="28"/>
        </w:rPr>
        <w:t>местный бюджет</w:t>
      </w:r>
      <w:r w:rsidRPr="00984EF2">
        <w:rPr>
          <w:szCs w:val="28"/>
        </w:rPr>
        <w:t xml:space="preserve"> в </w:t>
      </w:r>
      <w:r w:rsidRPr="00984EF2">
        <w:rPr>
          <w:szCs w:val="28"/>
          <w:lang w:val="en-US"/>
        </w:rPr>
        <w:t>I</w:t>
      </w:r>
      <w:r w:rsidRPr="00984EF2">
        <w:rPr>
          <w:szCs w:val="28"/>
        </w:rPr>
        <w:t xml:space="preserve"> квартале </w:t>
      </w:r>
      <w:r>
        <w:rPr>
          <w:szCs w:val="28"/>
        </w:rPr>
        <w:t>2023</w:t>
      </w:r>
      <w:r w:rsidRPr="00984EF2">
        <w:rPr>
          <w:szCs w:val="28"/>
        </w:rPr>
        <w:t xml:space="preserve"> года.</w:t>
      </w:r>
    </w:p>
    <w:p w:rsidR="00DB5F87" w:rsidRDefault="00DB5F87" w:rsidP="00DB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3D">
        <w:rPr>
          <w:rFonts w:ascii="Times New Roman" w:eastAsia="Calibri" w:hAnsi="Times New Roman" w:cs="Times New Roman"/>
          <w:sz w:val="28"/>
          <w:szCs w:val="28"/>
        </w:rPr>
        <w:t>Решением о бюджете с учетом изменений, внесенных решением Думы Нефтекумского муниципального округа Ставропольского края от 5 марта 2024 года № 260, расходы местного бюджета на 2024 год составили 2 212 369,02 тыс. рублей. В процессе исполнения местного бюджета в соответствии со статьей 232 Бюджетного кодекса Российской Федерации плановые назначения по расходам увеличены за счет безвозмездных поступлений из бюджета Ставропольского края в виде субсидий и субвенции на 81 580,21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F87" w:rsidRPr="003F093D" w:rsidRDefault="00DB5F87" w:rsidP="00DB5F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3D">
        <w:rPr>
          <w:rFonts w:ascii="Times New Roman" w:eastAsia="Calibri" w:hAnsi="Times New Roman" w:cs="Times New Roman"/>
          <w:sz w:val="28"/>
          <w:szCs w:val="28"/>
        </w:rPr>
        <w:t xml:space="preserve">С учетом внесенных изменений годовые плановые назначения составили 2 293 949,23 тыс. рублей. </w:t>
      </w:r>
    </w:p>
    <w:p w:rsidR="00DB5F87" w:rsidRPr="003F093D" w:rsidRDefault="00DB5F87" w:rsidP="00DB5F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93D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по расходам местного бюджета за </w:t>
      </w:r>
      <w:r w:rsidRPr="003F093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093D">
        <w:rPr>
          <w:rFonts w:ascii="Times New Roman" w:eastAsia="Calibri" w:hAnsi="Times New Roman" w:cs="Times New Roman"/>
          <w:sz w:val="28"/>
          <w:szCs w:val="28"/>
        </w:rPr>
        <w:t xml:space="preserve"> квартал 2024 года сложилось в сумме 428 840,48 тыс. рублей или 18,69 процента</w:t>
      </w:r>
      <w:r w:rsidRPr="003F093D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к годовым плановым назначениям</w:t>
      </w:r>
      <w:r w:rsidRPr="003F09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B91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Нефтекумского 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квартал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2606" w:rsidRDefault="003D2606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BBB" w:rsidRPr="00984EF2" w:rsidRDefault="00275BBB" w:rsidP="00275BBB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Поступление налоговых и неналоговых доходов составило </w:t>
      </w:r>
      <w:r w:rsidR="004F644D">
        <w:rPr>
          <w:szCs w:val="28"/>
        </w:rPr>
        <w:t>133 345,96</w:t>
      </w:r>
      <w:r w:rsidRPr="00984EF2">
        <w:rPr>
          <w:szCs w:val="28"/>
        </w:rPr>
        <w:t xml:space="preserve"> тыс. рублей или </w:t>
      </w:r>
      <w:r w:rsidR="004F644D">
        <w:rPr>
          <w:szCs w:val="28"/>
        </w:rPr>
        <w:t>25,33</w:t>
      </w:r>
      <w:r w:rsidRPr="00984EF2">
        <w:rPr>
          <w:szCs w:val="28"/>
        </w:rPr>
        <w:t xml:space="preserve"> процента к годовым плановым назначениям и на </w:t>
      </w:r>
      <w:r w:rsidR="004F644D">
        <w:rPr>
          <w:szCs w:val="28"/>
        </w:rPr>
        <w:t>75 346,74</w:t>
      </w:r>
      <w:r w:rsidRPr="00984EF2">
        <w:rPr>
          <w:szCs w:val="28"/>
        </w:rPr>
        <w:t xml:space="preserve"> тыс. рублей </w:t>
      </w:r>
      <w:r>
        <w:rPr>
          <w:szCs w:val="28"/>
        </w:rPr>
        <w:t>меньше</w:t>
      </w:r>
      <w:r w:rsidRPr="00984EF2">
        <w:rPr>
          <w:szCs w:val="28"/>
        </w:rPr>
        <w:t xml:space="preserve">, чем поступило в </w:t>
      </w:r>
      <w:r>
        <w:rPr>
          <w:szCs w:val="28"/>
        </w:rPr>
        <w:t>местный бюджет</w:t>
      </w:r>
      <w:r w:rsidRPr="00984EF2">
        <w:rPr>
          <w:szCs w:val="28"/>
        </w:rPr>
        <w:t xml:space="preserve"> за аналогичный период прошлого года. Доля </w:t>
      </w:r>
      <w:r>
        <w:rPr>
          <w:szCs w:val="28"/>
        </w:rPr>
        <w:t xml:space="preserve">поступивших </w:t>
      </w:r>
      <w:r w:rsidRPr="00984EF2">
        <w:rPr>
          <w:szCs w:val="28"/>
        </w:rPr>
        <w:t xml:space="preserve">налоговых и неналоговых доходов в общем объеме доходов местного бюджета составила </w:t>
      </w:r>
      <w:r w:rsidR="004F644D">
        <w:rPr>
          <w:szCs w:val="28"/>
        </w:rPr>
        <w:t>26,73</w:t>
      </w:r>
      <w:r w:rsidRPr="00984EF2">
        <w:rPr>
          <w:szCs w:val="28"/>
        </w:rPr>
        <w:t xml:space="preserve"> процента.</w:t>
      </w:r>
    </w:p>
    <w:p w:rsidR="0045736D" w:rsidRDefault="0045736D" w:rsidP="00C57E02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Анализ и</w:t>
      </w:r>
      <w:r w:rsidRPr="00984EF2">
        <w:rPr>
          <w:szCs w:val="28"/>
        </w:rPr>
        <w:t>сполнени</w:t>
      </w:r>
      <w:r>
        <w:rPr>
          <w:szCs w:val="28"/>
        </w:rPr>
        <w:t>я</w:t>
      </w:r>
      <w:r w:rsidRPr="00984EF2">
        <w:rPr>
          <w:szCs w:val="28"/>
        </w:rPr>
        <w:t xml:space="preserve"> плана поступлений по налоговым и неналоговым доходам местного бюджета за </w:t>
      </w:r>
      <w:r w:rsidRPr="00984EF2">
        <w:rPr>
          <w:szCs w:val="28"/>
          <w:lang w:val="en-US"/>
        </w:rPr>
        <w:t>I</w:t>
      </w:r>
      <w:r w:rsidRPr="00984EF2">
        <w:rPr>
          <w:szCs w:val="28"/>
        </w:rPr>
        <w:t xml:space="preserve"> квартал 20</w:t>
      </w:r>
      <w:r>
        <w:rPr>
          <w:szCs w:val="28"/>
        </w:rPr>
        <w:t>2</w:t>
      </w:r>
      <w:r w:rsidR="00DB5F87">
        <w:rPr>
          <w:szCs w:val="28"/>
        </w:rPr>
        <w:t>4</w:t>
      </w:r>
      <w:r w:rsidRPr="00984EF2">
        <w:rPr>
          <w:szCs w:val="28"/>
        </w:rPr>
        <w:t xml:space="preserve"> года</w:t>
      </w:r>
      <w:r>
        <w:rPr>
          <w:szCs w:val="28"/>
        </w:rPr>
        <w:t>.</w:t>
      </w:r>
    </w:p>
    <w:p w:rsidR="0045736D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1</w:t>
      </w:r>
    </w:p>
    <w:p w:rsidR="00216CDA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(тыс.рублей)</w:t>
      </w:r>
    </w:p>
    <w:tbl>
      <w:tblPr>
        <w:tblpPr w:leftFromText="180" w:rightFromText="180" w:vertAnchor="text" w:horzAnchor="margin" w:tblpXSpec="center" w:tblpY="17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  <w:gridCol w:w="1560"/>
        <w:gridCol w:w="1417"/>
        <w:gridCol w:w="1134"/>
        <w:gridCol w:w="992"/>
        <w:gridCol w:w="1276"/>
      </w:tblGrid>
      <w:tr w:rsidR="0045736D" w:rsidRPr="009379FF" w:rsidTr="004078B3">
        <w:trPr>
          <w:trHeight w:val="1150"/>
        </w:trPr>
        <w:tc>
          <w:tcPr>
            <w:tcW w:w="2376" w:type="dxa"/>
            <w:vAlign w:val="center"/>
          </w:tcPr>
          <w:p w:rsidR="0045736D" w:rsidRPr="003D2606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5736D" w:rsidRPr="003D2606" w:rsidRDefault="0045736D" w:rsidP="00DB5F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</w:t>
            </w:r>
            <w:r w:rsidR="00DB5F87" w:rsidRPr="003D2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45736D" w:rsidRPr="003D2606" w:rsidRDefault="0045736D" w:rsidP="00DB5F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 на 202</w:t>
            </w:r>
            <w:r w:rsidR="00DB5F87" w:rsidRPr="003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417" w:type="dxa"/>
            <w:vAlign w:val="center"/>
          </w:tcPr>
          <w:p w:rsidR="0045736D" w:rsidRPr="003D2606" w:rsidRDefault="0045736D" w:rsidP="00DB5F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</w:t>
            </w:r>
            <w:r w:rsidR="00DB5F87" w:rsidRPr="003D2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5736D" w:rsidRPr="003D2606" w:rsidRDefault="0045736D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плану </w:t>
            </w:r>
          </w:p>
        </w:tc>
        <w:tc>
          <w:tcPr>
            <w:tcW w:w="992" w:type="dxa"/>
            <w:vAlign w:val="center"/>
          </w:tcPr>
          <w:p w:rsidR="0045736D" w:rsidRPr="003D2606" w:rsidRDefault="0045736D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="00CA6EF1"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к 2023 году</w:t>
            </w:r>
          </w:p>
        </w:tc>
        <w:tc>
          <w:tcPr>
            <w:tcW w:w="1276" w:type="dxa"/>
            <w:vAlign w:val="center"/>
          </w:tcPr>
          <w:p w:rsidR="0045736D" w:rsidRPr="003D2606" w:rsidRDefault="0045736D" w:rsidP="00CA6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</w:t>
            </w:r>
            <w:r w:rsidR="00CA6EF1"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202</w:t>
            </w:r>
            <w:r w:rsidR="00DB5F87"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A6EF1"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45736D" w:rsidRPr="009379FF" w:rsidTr="004078B3">
        <w:tc>
          <w:tcPr>
            <w:tcW w:w="2376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5736D" w:rsidRPr="009379FF" w:rsidRDefault="0045736D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F87" w:rsidRPr="001A0336" w:rsidTr="005903F4">
        <w:tc>
          <w:tcPr>
            <w:tcW w:w="2376" w:type="dxa"/>
            <w:shd w:val="clear" w:color="auto" w:fill="FFFFFF" w:themeFill="background1"/>
          </w:tcPr>
          <w:p w:rsidR="00DB5F87" w:rsidRPr="00CA6EF1" w:rsidRDefault="00CA6EF1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41 004,60</w:t>
            </w:r>
          </w:p>
        </w:tc>
        <w:tc>
          <w:tcPr>
            <w:tcW w:w="1560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433 080,00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116 808,20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26,97</w:t>
            </w:r>
          </w:p>
        </w:tc>
        <w:tc>
          <w:tcPr>
            <w:tcW w:w="992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284,87</w:t>
            </w:r>
          </w:p>
        </w:tc>
        <w:tc>
          <w:tcPr>
            <w:tcW w:w="1276" w:type="dxa"/>
            <w:shd w:val="clear" w:color="auto" w:fill="FFFFFF" w:themeFill="background1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75 803,60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22 867,26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330 571,00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84 274,12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368,54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61 406,86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Акциз 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6 094,65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23 674,00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6 508,76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27,49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106,79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414,11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1 524,58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23 687,00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3 189,89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13,47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209,23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1 665,31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5 074,10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8 765,00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11 141,19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127,11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219,57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6 067,09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424,63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7 286,00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4 120,17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56,55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970,30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3 695,54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</w:t>
            </w: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1 485,62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18 327,00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lang w:eastAsia="ru-RU"/>
              </w:rPr>
              <w:t>2 622,29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14,31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176,51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1 136,67</w:t>
            </w:r>
          </w:p>
        </w:tc>
      </w:tr>
      <w:tr w:rsidR="00DB5F87" w:rsidRPr="002C393C" w:rsidTr="004078B3">
        <w:trPr>
          <w:trHeight w:val="465"/>
        </w:trPr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2 114,00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12 534,00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3 541,63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28,26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167,53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1 427,63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1 493,94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8 236,00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1 291,49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15,68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86,45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-202,45</w:t>
            </w:r>
          </w:p>
        </w:tc>
      </w:tr>
      <w:tr w:rsidR="00DB5F87" w:rsidRPr="001A0336" w:rsidTr="004078B3">
        <w:tc>
          <w:tcPr>
            <w:tcW w:w="2376" w:type="dxa"/>
          </w:tcPr>
          <w:p w:rsidR="00DB5F87" w:rsidRPr="00CA6EF1" w:rsidRDefault="00CA6EF1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134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16 994,62</w:t>
            </w:r>
          </w:p>
        </w:tc>
        <w:tc>
          <w:tcPr>
            <w:tcW w:w="1560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93 414,00</w:t>
            </w:r>
          </w:p>
        </w:tc>
        <w:tc>
          <w:tcPr>
            <w:tcW w:w="1417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16 537,76</w:t>
            </w:r>
          </w:p>
        </w:tc>
        <w:tc>
          <w:tcPr>
            <w:tcW w:w="1134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17,70</w:t>
            </w:r>
          </w:p>
        </w:tc>
        <w:tc>
          <w:tcPr>
            <w:tcW w:w="992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97,31</w:t>
            </w:r>
          </w:p>
        </w:tc>
        <w:tc>
          <w:tcPr>
            <w:tcW w:w="1276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-456,86</w:t>
            </w:r>
          </w:p>
        </w:tc>
      </w:tr>
      <w:tr w:rsidR="00DB5F87" w:rsidRPr="002C393C" w:rsidTr="005903F4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6 807,22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47 391,00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8 644,33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18,24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126,99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1 837,11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5 196,14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27 347,00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465,92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-4 730,22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3 872,32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14 403,00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4 169,15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107,67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296,83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698,79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2 731,61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182,11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390,91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2 032,82</w:t>
            </w:r>
          </w:p>
        </w:tc>
      </w:tr>
      <w:tr w:rsidR="00DB5F87" w:rsidRPr="002C393C" w:rsidTr="004078B3">
        <w:tc>
          <w:tcPr>
            <w:tcW w:w="2376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375,71</w:t>
            </w:r>
          </w:p>
        </w:tc>
        <w:tc>
          <w:tcPr>
            <w:tcW w:w="1560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1 306,00</w:t>
            </w:r>
          </w:p>
        </w:tc>
        <w:tc>
          <w:tcPr>
            <w:tcW w:w="1417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518,42</w:t>
            </w:r>
          </w:p>
        </w:tc>
        <w:tc>
          <w:tcPr>
            <w:tcW w:w="1134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39,70</w:t>
            </w:r>
          </w:p>
        </w:tc>
        <w:tc>
          <w:tcPr>
            <w:tcW w:w="992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137,98</w:t>
            </w:r>
          </w:p>
        </w:tc>
        <w:tc>
          <w:tcPr>
            <w:tcW w:w="1276" w:type="dxa"/>
            <w:shd w:val="clear" w:color="auto" w:fill="FFFFFF" w:themeFill="background1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142,71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DB5F87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1560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1 467,00</w:t>
            </w:r>
          </w:p>
        </w:tc>
        <w:tc>
          <w:tcPr>
            <w:tcW w:w="1417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134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992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18,74</w:t>
            </w:r>
          </w:p>
        </w:tc>
        <w:tc>
          <w:tcPr>
            <w:tcW w:w="1276" w:type="dxa"/>
          </w:tcPr>
          <w:p w:rsidR="00DB5F87" w:rsidRPr="00DB5F87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-36,11</w:t>
            </w:r>
          </w:p>
        </w:tc>
      </w:tr>
      <w:tr w:rsidR="00DB5F87" w:rsidRPr="002C393C" w:rsidTr="004078B3">
        <w:tc>
          <w:tcPr>
            <w:tcW w:w="2376" w:type="dxa"/>
          </w:tcPr>
          <w:p w:rsidR="00DB5F87" w:rsidRPr="00CA6EF1" w:rsidRDefault="00DB5F87" w:rsidP="0059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57 999,22</w:t>
            </w:r>
          </w:p>
        </w:tc>
        <w:tc>
          <w:tcPr>
            <w:tcW w:w="1560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526 494,00</w:t>
            </w:r>
          </w:p>
        </w:tc>
        <w:tc>
          <w:tcPr>
            <w:tcW w:w="1417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133 345,96</w:t>
            </w:r>
          </w:p>
        </w:tc>
        <w:tc>
          <w:tcPr>
            <w:tcW w:w="1134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25,33</w:t>
            </w:r>
          </w:p>
        </w:tc>
        <w:tc>
          <w:tcPr>
            <w:tcW w:w="992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229,91</w:t>
            </w:r>
          </w:p>
        </w:tc>
        <w:tc>
          <w:tcPr>
            <w:tcW w:w="1276" w:type="dxa"/>
          </w:tcPr>
          <w:p w:rsidR="00DB5F87" w:rsidRPr="00CA6EF1" w:rsidRDefault="00DB5F87" w:rsidP="00590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75 346,74</w:t>
            </w:r>
          </w:p>
        </w:tc>
      </w:tr>
    </w:tbl>
    <w:p w:rsidR="00D66727" w:rsidRDefault="00D66727" w:rsidP="00D66727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Согласно пояснительной записки:</w:t>
      </w:r>
    </w:p>
    <w:p w:rsidR="00CA6EF1" w:rsidRDefault="00CA6EF1" w:rsidP="003D2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доходов за отчетный период составило 116 808,20тыс. рублей, что больше чем в 2 раза поступлений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квартала 2023 года в связи с </w:t>
      </w:r>
      <w:r w:rsidRPr="009034C5">
        <w:rPr>
          <w:rFonts w:ascii="Times New Roman" w:hAnsi="Times New Roman" w:cs="Times New Roman"/>
          <w:sz w:val="28"/>
          <w:szCs w:val="28"/>
        </w:rPr>
        <w:t>увеличением с 01 января 2024 года норматива отчислений от налога на доходы физических лиц с 27 до 49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4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налога, взимаемого в связи с применением упрощенной системы налогообложения с 15 до 30 процентов в</w:t>
      </w:r>
      <w:r w:rsidRPr="007E618B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13 октября 2011 г. № 77-кз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</w:t>
      </w:r>
      <w:r>
        <w:rPr>
          <w:rFonts w:ascii="Times New Roman" w:hAnsi="Times New Roman" w:cs="Times New Roman"/>
          <w:sz w:val="28"/>
          <w:szCs w:val="28"/>
        </w:rPr>
        <w:t>». На увеличение налоговых доходов повлияло также принятие р</w:t>
      </w:r>
      <w:r w:rsidRPr="007E618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24 октября 2023 г. №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определена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доля дотации на выравнивание бюджетной обеспеченности, причитающейся Нефтекумскому муниципальному округу Ставропольского края из бюджета Ставропольского края на 2024 год, подлежащая замене на дополнительный норматив отчислений в местный бюджет от налога на доходы физических лиц в размере 10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F1" w:rsidRDefault="00CA6EF1" w:rsidP="003D26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0E07">
        <w:rPr>
          <w:rFonts w:ascii="Times New Roman" w:hAnsi="Times New Roman" w:cs="Times New Roman"/>
          <w:sz w:val="28"/>
          <w:szCs w:val="28"/>
        </w:rPr>
        <w:t xml:space="preserve">одовые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150E07">
        <w:rPr>
          <w:rFonts w:ascii="Times New Roman" w:hAnsi="Times New Roman" w:cs="Times New Roman"/>
          <w:sz w:val="28"/>
          <w:szCs w:val="28"/>
        </w:rPr>
        <w:t xml:space="preserve">назначения по </w:t>
      </w:r>
      <w:r>
        <w:rPr>
          <w:rFonts w:ascii="Times New Roman" w:hAnsi="Times New Roman" w:cs="Times New Roman"/>
          <w:sz w:val="28"/>
          <w:szCs w:val="28"/>
        </w:rPr>
        <w:t>налогу на доходы физических лиц</w:t>
      </w:r>
      <w:r w:rsidR="00275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 в объеме 330 571,00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рублей. Фактическое поступление налога на доходы физических лиц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88 274,12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 25,49</w:t>
      </w:r>
      <w:r w:rsidRPr="00150E07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150E07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 xml:space="preserve">, что более чем в 3 раза больше поступлений </w:t>
      </w:r>
      <w:r w:rsidRPr="00984EF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 2023 года.</w:t>
      </w:r>
    </w:p>
    <w:p w:rsidR="00CA6EF1" w:rsidRDefault="00CA6EF1" w:rsidP="00CA6E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73">
        <w:rPr>
          <w:rFonts w:ascii="Times New Roman" w:hAnsi="Times New Roman" w:cs="Times New Roman"/>
          <w:sz w:val="28"/>
          <w:szCs w:val="28"/>
        </w:rPr>
        <w:lastRenderedPageBreak/>
        <w:t>Поступление доходов от уплаты акцизов на нефтепродукты</w:t>
      </w:r>
      <w:r w:rsidR="003D2606">
        <w:rPr>
          <w:rFonts w:ascii="Times New Roman" w:hAnsi="Times New Roman" w:cs="Times New Roman"/>
          <w:sz w:val="28"/>
          <w:szCs w:val="28"/>
        </w:rPr>
        <w:t xml:space="preserve"> </w:t>
      </w:r>
      <w:r w:rsidRPr="00334DC8">
        <w:rPr>
          <w:rFonts w:ascii="Times New Roman" w:hAnsi="Times New Roman" w:cs="Times New Roman"/>
          <w:sz w:val="28"/>
          <w:szCs w:val="28"/>
        </w:rPr>
        <w:t xml:space="preserve">за </w:t>
      </w:r>
      <w:r w:rsidRPr="00984E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4EF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B91B73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>6 508,76</w:t>
      </w:r>
      <w:r w:rsidRPr="00B91B7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27,49</w:t>
      </w:r>
      <w:r w:rsidRPr="00B91B73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414,11</w:t>
      </w:r>
      <w:r w:rsidRPr="00B91B7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6,79 процента больше</w:t>
      </w:r>
      <w:r w:rsidRPr="00B91B73">
        <w:rPr>
          <w:rFonts w:ascii="Times New Roman" w:hAnsi="Times New Roman" w:cs="Times New Roman"/>
          <w:sz w:val="28"/>
          <w:szCs w:val="28"/>
        </w:rPr>
        <w:t>, чем за аналогичный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1B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6EF1" w:rsidRPr="00694D4A" w:rsidRDefault="00CA6EF1" w:rsidP="00CA6E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налога, взимаемого в связи с применением упрощенной системы налогообложения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2024года составило 3 189,89тыс. рублей или 13,47 процента </w:t>
      </w:r>
      <w:r w:rsidRPr="00984EF2">
        <w:rPr>
          <w:rFonts w:ascii="Times New Roman" w:hAnsi="Times New Roman" w:cs="Times New Roman"/>
          <w:sz w:val="28"/>
          <w:szCs w:val="28"/>
        </w:rPr>
        <w:t>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2023 года объем поступлений указанного налога более чем в 2 раза.</w:t>
      </w:r>
    </w:p>
    <w:p w:rsidR="00CA6EF1" w:rsidRPr="008A6823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Поступление единого сельскохозяйственного налога за </w:t>
      </w:r>
      <w:r w:rsidRPr="00984E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4EF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84EF2">
        <w:rPr>
          <w:rFonts w:ascii="Times New Roman" w:hAnsi="Times New Roman" w:cs="Times New Roman"/>
          <w:sz w:val="28"/>
          <w:szCs w:val="28"/>
        </w:rPr>
        <w:t xml:space="preserve"> года в местный бюджет составило </w:t>
      </w:r>
      <w:r>
        <w:rPr>
          <w:rFonts w:ascii="Times New Roman" w:hAnsi="Times New Roman" w:cs="Times New Roman"/>
          <w:sz w:val="28"/>
          <w:szCs w:val="28"/>
        </w:rPr>
        <w:t>11 141,19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127,11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, что в 2 раза больше показателей аналогичного периода 2023 года, в связи с увеличением доходности сельскохозяйственных товаропроизводителей Нефтекумского муниципального округа</w:t>
      </w:r>
      <w:r w:rsidRPr="00710B6B">
        <w:rPr>
          <w:rFonts w:ascii="Times New Roman" w:hAnsi="Times New Roman" w:cs="Times New Roman"/>
          <w:sz w:val="28"/>
          <w:szCs w:val="28"/>
        </w:rPr>
        <w:t>.</w:t>
      </w:r>
    </w:p>
    <w:p w:rsidR="00CA6EF1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A6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 за отчетный период поступил в объеме 4 120,17 тыс. рублей или 56,55 процента к годовым плановым назначениям, что более чем в 9 раз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6D39A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9A6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года.</w:t>
      </w:r>
      <w:r w:rsidR="003D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поступлений по данному доходному источнику обусловлено тем, что налог со сроком уплаты 31 декабря 2023 года УФНС по Ставропольскому краю в местный бюджет зачислен в январе 2024 года.</w:t>
      </w:r>
    </w:p>
    <w:p w:rsidR="00CA6EF1" w:rsidRPr="00984EF2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4EF2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за отчетный период поступил в объеме </w:t>
      </w:r>
      <w:r>
        <w:rPr>
          <w:rFonts w:ascii="Times New Roman" w:hAnsi="Times New Roman" w:cs="Times New Roman"/>
          <w:sz w:val="28"/>
          <w:szCs w:val="28"/>
        </w:rPr>
        <w:t>2 622,29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14,31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984EF2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 xml:space="preserve">, что на 76,51 процента или 1 136,67 тыс. рублей больше, чем поступило </w:t>
      </w:r>
      <w:r w:rsidRPr="00984E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84EF2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за ана</w:t>
      </w:r>
      <w:r w:rsidRPr="00984EF2">
        <w:rPr>
          <w:rFonts w:ascii="Times New Roman" w:hAnsi="Times New Roman" w:cs="Times New Roman"/>
          <w:sz w:val="28"/>
          <w:szCs w:val="28"/>
        </w:rPr>
        <w:t>логичны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DB07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075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связи с проведенными мероприятиями по взысканию недоимки по данному доходному источнику.</w:t>
      </w:r>
    </w:p>
    <w:p w:rsidR="00CA6EF1" w:rsidRPr="008A6823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>Объем поступлений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984EF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Pr="00984EF2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3 541,63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28,26 процента к </w:t>
      </w:r>
      <w:r w:rsidRPr="007F705B">
        <w:rPr>
          <w:rFonts w:ascii="Times New Roman" w:hAnsi="Times New Roman" w:cs="Times New Roman"/>
          <w:sz w:val="28"/>
          <w:szCs w:val="28"/>
        </w:rPr>
        <w:t xml:space="preserve">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7F705B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 на 67,53 процента или 1 427,63 тыс. рублей больше показателей аналогичного периода 2023 года, в связи с тем, что в 2023 году некоторые учреждения округа не оплачивали земельный налог, в связи с имеющейся у них переплатой по данному налогу.</w:t>
      </w:r>
    </w:p>
    <w:p w:rsidR="00CA6EF1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За отчетный период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1 291,49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государственной пошлины, что составило </w:t>
      </w:r>
      <w:r>
        <w:rPr>
          <w:rFonts w:ascii="Times New Roman" w:hAnsi="Times New Roman" w:cs="Times New Roman"/>
          <w:sz w:val="28"/>
          <w:szCs w:val="28"/>
        </w:rPr>
        <w:t>15,68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назначениям, и на 13,55 процента или 202,45 тыс. рублей меньше показателей аналогичного периода 2023года.</w:t>
      </w:r>
    </w:p>
    <w:p w:rsidR="00CA6EF1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2E0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доходам от использования имущества, находящегося в муниципальной собственности составили 47 391,00тыс. рублей. Фактически за </w:t>
      </w:r>
      <w:r w:rsidRPr="006A6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62E0">
        <w:rPr>
          <w:rFonts w:ascii="Times New Roman" w:hAnsi="Times New Roman" w:cs="Times New Roman"/>
          <w:sz w:val="28"/>
          <w:szCs w:val="28"/>
        </w:rPr>
        <w:t xml:space="preserve"> квартал 2024 года в доход местного бюджета поступило 8 644,33 тыс. рублей, что составило 18,24 процента к годовым</w:t>
      </w:r>
      <w:r w:rsidRPr="005F7AB6">
        <w:rPr>
          <w:rFonts w:ascii="Times New Roman" w:hAnsi="Times New Roman" w:cs="Times New Roman"/>
          <w:sz w:val="28"/>
          <w:szCs w:val="28"/>
        </w:rPr>
        <w:t xml:space="preserve">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1 837,11</w:t>
      </w:r>
      <w:r w:rsidRPr="005F7AB6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или 26,99 процента больше</w:t>
      </w:r>
      <w:r w:rsidRPr="005F7AB6">
        <w:rPr>
          <w:rFonts w:ascii="Times New Roman" w:hAnsi="Times New Roman" w:cs="Times New Roman"/>
          <w:sz w:val="28"/>
          <w:szCs w:val="28"/>
        </w:rPr>
        <w:t xml:space="preserve">, </w:t>
      </w:r>
      <w:r w:rsidRPr="00090054">
        <w:rPr>
          <w:rFonts w:ascii="Times New Roman" w:hAnsi="Times New Roman" w:cs="Times New Roman"/>
          <w:sz w:val="28"/>
          <w:szCs w:val="28"/>
        </w:rPr>
        <w:t>чем за аналогичный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054">
        <w:rPr>
          <w:rFonts w:ascii="Times New Roman" w:hAnsi="Times New Roman" w:cs="Times New Roman"/>
          <w:sz w:val="28"/>
          <w:szCs w:val="28"/>
        </w:rPr>
        <w:t xml:space="preserve"> года в 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90054">
        <w:rPr>
          <w:rFonts w:ascii="Times New Roman" w:hAnsi="Times New Roman" w:cs="Times New Roman"/>
          <w:sz w:val="28"/>
          <w:szCs w:val="28"/>
        </w:rPr>
        <w:t>внесением</w:t>
      </w:r>
      <w:r w:rsidR="00275BBB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3D2606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авансовых платежей некоторыми арендаторами арендной платы за земельные </w:t>
      </w:r>
      <w:r w:rsidRPr="00090054">
        <w:rPr>
          <w:rFonts w:ascii="Times New Roman" w:hAnsi="Times New Roman" w:cs="Times New Roman"/>
          <w:sz w:val="28"/>
          <w:szCs w:val="28"/>
        </w:rPr>
        <w:lastRenderedPageBreak/>
        <w:t xml:space="preserve">участки </w:t>
      </w:r>
      <w:r>
        <w:rPr>
          <w:rFonts w:ascii="Times New Roman" w:hAnsi="Times New Roman" w:cs="Times New Roman"/>
          <w:sz w:val="28"/>
          <w:szCs w:val="28"/>
        </w:rPr>
        <w:t>в раз</w:t>
      </w:r>
      <w:r w:rsidRPr="00090054">
        <w:rPr>
          <w:rFonts w:ascii="Times New Roman" w:hAnsi="Times New Roman" w:cs="Times New Roman"/>
          <w:sz w:val="28"/>
          <w:szCs w:val="28"/>
        </w:rPr>
        <w:t>мере годового платежа</w:t>
      </w:r>
      <w:r>
        <w:rPr>
          <w:rFonts w:ascii="Times New Roman" w:hAnsi="Times New Roman" w:cs="Times New Roman"/>
          <w:sz w:val="28"/>
          <w:szCs w:val="28"/>
        </w:rPr>
        <w:t>, а также оплатой задолженности крупным арендатором.</w:t>
      </w:r>
    </w:p>
    <w:p w:rsidR="00CA6EF1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70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A27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270E">
        <w:rPr>
          <w:rFonts w:ascii="Times New Roman" w:hAnsi="Times New Roman" w:cs="Times New Roman"/>
          <w:sz w:val="28"/>
          <w:szCs w:val="28"/>
        </w:rPr>
        <w:t xml:space="preserve"> квартала 2024 года в доход местного бюджета поступило 465,92 тыс. рублей или 1,70 процента годовых плановых назначений платы за негативное воздействие на окружающую среду, что на 4 730,22 тыс. рублей или 91,03 процента меньше поступлений аналогичного периода 2023 года.</w:t>
      </w:r>
      <w:r w:rsidR="00275BBB">
        <w:rPr>
          <w:rFonts w:ascii="Times New Roman" w:hAnsi="Times New Roman" w:cs="Times New Roman"/>
          <w:sz w:val="28"/>
          <w:szCs w:val="28"/>
        </w:rPr>
        <w:t xml:space="preserve"> </w:t>
      </w:r>
      <w:r w:rsidRPr="00CA270E">
        <w:rPr>
          <w:rFonts w:ascii="Times New Roman" w:hAnsi="Times New Roman" w:cs="Times New Roman"/>
          <w:sz w:val="28"/>
          <w:szCs w:val="28"/>
        </w:rPr>
        <w:t>Уменьшение поступлений в 2024 году по данному доходному источнику обусловлено тем, что одним из крупнейших плательщиков платежей за выбросы загрязняющих веществ, образующихся при сжигании на факельных установках и рассеивании попутного нефтяного газа внесена доплата за 2023 год исходя из фактических объемов сжигания попутного нефтяного газа.</w:t>
      </w:r>
    </w:p>
    <w:p w:rsidR="00CA6EF1" w:rsidRPr="005D1174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Объем поступлений по доходам от оказания платных услуг (работ) и компенсации затрат государства на отчетную дату составил </w:t>
      </w:r>
      <w:r>
        <w:rPr>
          <w:rFonts w:ascii="Times New Roman" w:hAnsi="Times New Roman" w:cs="Times New Roman"/>
          <w:sz w:val="28"/>
          <w:szCs w:val="28"/>
        </w:rPr>
        <w:t>4 169,15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28,95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 xml:space="preserve">ям и </w:t>
      </w:r>
      <w:r w:rsidRPr="00984E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296,83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7,67 процента</w:t>
      </w:r>
      <w:r w:rsidR="00275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84EF2">
        <w:rPr>
          <w:rFonts w:ascii="Times New Roman" w:hAnsi="Times New Roman" w:cs="Times New Roman"/>
          <w:sz w:val="28"/>
          <w:szCs w:val="28"/>
        </w:rPr>
        <w:t xml:space="preserve">, чем 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A3F5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F1" w:rsidRPr="003A32F3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от продажи материальных и нематериальных активов по итогам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2 731,61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поступлений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3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A32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A3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2024 года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2F3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поступили от продажи автотранспортного средства в соответствии с прогнозным планом (программой) приватизации муниципального имущества Нефтекумского муниципального округа, а также от продажи земельных участков, находящихся в муниципальной собственности по заявлениям граждан.</w:t>
      </w:r>
    </w:p>
    <w:p w:rsidR="00CA6EF1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F3">
        <w:rPr>
          <w:rFonts w:ascii="Times New Roman" w:hAnsi="Times New Roman" w:cs="Times New Roman"/>
          <w:sz w:val="28"/>
          <w:szCs w:val="28"/>
        </w:rPr>
        <w:t>Доходы по штрафам, санкциям, возмещению ущерба поступили</w:t>
      </w:r>
      <w:r w:rsidRPr="00984EF2">
        <w:rPr>
          <w:rFonts w:ascii="Times New Roman" w:hAnsi="Times New Roman" w:cs="Times New Roman"/>
          <w:sz w:val="28"/>
          <w:szCs w:val="28"/>
        </w:rPr>
        <w:t xml:space="preserve"> в местный бюджет в сумме </w:t>
      </w:r>
      <w:r>
        <w:rPr>
          <w:rFonts w:ascii="Times New Roman" w:hAnsi="Times New Roman" w:cs="Times New Roman"/>
          <w:sz w:val="28"/>
          <w:szCs w:val="28"/>
        </w:rPr>
        <w:t>518,42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>
        <w:rPr>
          <w:rFonts w:ascii="Times New Roman" w:hAnsi="Times New Roman" w:cs="Times New Roman"/>
          <w:sz w:val="28"/>
          <w:szCs w:val="28"/>
        </w:rPr>
        <w:t>39,70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ям и на 142,71 тыс. рублей или 37,98 процента больше, чем поступило в местный бюджет за аналогичный период прошлого года.</w:t>
      </w:r>
    </w:p>
    <w:p w:rsidR="00CA6EF1" w:rsidRPr="00073FC3" w:rsidRDefault="00CA6EF1" w:rsidP="00CA6EF1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FC3">
        <w:rPr>
          <w:rFonts w:ascii="Times New Roman" w:hAnsi="Times New Roman" w:cs="Times New Roman"/>
          <w:sz w:val="28"/>
          <w:szCs w:val="28"/>
        </w:rPr>
        <w:t>Объем поступлений прочих неналоговых доходов</w:t>
      </w:r>
      <w:r w:rsidR="00275BBB">
        <w:rPr>
          <w:rFonts w:ascii="Times New Roman" w:hAnsi="Times New Roman" w:cs="Times New Roman"/>
          <w:sz w:val="28"/>
          <w:szCs w:val="28"/>
        </w:rPr>
        <w:t xml:space="preserve"> </w:t>
      </w:r>
      <w:r w:rsidRPr="00073FC3"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8,33</w:t>
      </w:r>
      <w:r w:rsidRPr="00073FC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0,57</w:t>
      </w:r>
      <w:r w:rsidRPr="00073FC3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EF1" w:rsidRPr="00984EF2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Безвозмездные поступления в местном бюджете на </w:t>
      </w:r>
      <w:r>
        <w:rPr>
          <w:szCs w:val="28"/>
        </w:rPr>
        <w:t>2024</w:t>
      </w:r>
      <w:r w:rsidRPr="00984EF2">
        <w:rPr>
          <w:szCs w:val="28"/>
        </w:rPr>
        <w:t xml:space="preserve"> год предусмотрены в объеме </w:t>
      </w:r>
      <w:r>
        <w:rPr>
          <w:szCs w:val="28"/>
        </w:rPr>
        <w:t>1 634 556,68</w:t>
      </w:r>
      <w:r w:rsidRPr="00984EF2">
        <w:rPr>
          <w:szCs w:val="28"/>
        </w:rPr>
        <w:t xml:space="preserve">тыс. рублей. Кассовое исполнение за </w:t>
      </w:r>
      <w:r w:rsidRPr="00984EF2">
        <w:rPr>
          <w:szCs w:val="28"/>
          <w:lang w:val="en-US"/>
        </w:rPr>
        <w:t>I</w:t>
      </w:r>
      <w:r w:rsidRPr="00984EF2">
        <w:rPr>
          <w:szCs w:val="28"/>
        </w:rPr>
        <w:t xml:space="preserve"> квартал </w:t>
      </w:r>
      <w:r>
        <w:rPr>
          <w:szCs w:val="28"/>
        </w:rPr>
        <w:t>2024</w:t>
      </w:r>
      <w:r w:rsidRPr="00984EF2">
        <w:rPr>
          <w:szCs w:val="28"/>
        </w:rPr>
        <w:t xml:space="preserve"> года </w:t>
      </w:r>
      <w:r>
        <w:rPr>
          <w:szCs w:val="28"/>
        </w:rPr>
        <w:t>составило 365 436,04</w:t>
      </w:r>
      <w:r w:rsidRPr="00984EF2">
        <w:rPr>
          <w:szCs w:val="28"/>
        </w:rPr>
        <w:t xml:space="preserve">тыс. рублей или </w:t>
      </w:r>
      <w:r>
        <w:rPr>
          <w:szCs w:val="28"/>
        </w:rPr>
        <w:t>22,36</w:t>
      </w:r>
      <w:r w:rsidRPr="00984EF2">
        <w:rPr>
          <w:szCs w:val="28"/>
        </w:rPr>
        <w:t xml:space="preserve"> процента к</w:t>
      </w:r>
      <w:r>
        <w:rPr>
          <w:szCs w:val="28"/>
        </w:rPr>
        <w:t xml:space="preserve"> годовым </w:t>
      </w:r>
      <w:r w:rsidRPr="00984EF2">
        <w:rPr>
          <w:szCs w:val="28"/>
        </w:rPr>
        <w:t>плановым назначениям.</w:t>
      </w:r>
    </w:p>
    <w:p w:rsidR="007E15C5" w:rsidRDefault="00C57E02" w:rsidP="00AD3667">
      <w:pPr>
        <w:pStyle w:val="a9"/>
        <w:suppressAutoHyphens/>
        <w:spacing w:after="0"/>
        <w:ind w:firstLine="253"/>
        <w:jc w:val="both"/>
        <w:rPr>
          <w:szCs w:val="28"/>
          <w:highlight w:val="red"/>
        </w:rPr>
      </w:pPr>
      <w:r>
        <w:rPr>
          <w:szCs w:val="28"/>
        </w:rPr>
        <w:tab/>
      </w:r>
      <w:r w:rsidR="007E15C5" w:rsidRPr="00984EF2">
        <w:rPr>
          <w:szCs w:val="28"/>
        </w:rPr>
        <w:t xml:space="preserve">Структура безвозмездных поступлений </w:t>
      </w:r>
      <w:r w:rsidR="0045736D">
        <w:rPr>
          <w:szCs w:val="28"/>
        </w:rPr>
        <w:t>в местный бюджет за 1 квартал 202</w:t>
      </w:r>
      <w:r w:rsidR="00CA6EF1">
        <w:rPr>
          <w:szCs w:val="28"/>
        </w:rPr>
        <w:t>4</w:t>
      </w:r>
      <w:r w:rsidR="0045736D">
        <w:rPr>
          <w:szCs w:val="28"/>
        </w:rPr>
        <w:t xml:space="preserve"> года</w:t>
      </w:r>
      <w:r w:rsidR="00AD3667">
        <w:rPr>
          <w:szCs w:val="28"/>
        </w:rPr>
        <w:t>.</w:t>
      </w:r>
    </w:p>
    <w:p w:rsidR="00C57E02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2</w:t>
      </w:r>
    </w:p>
    <w:p w:rsidR="00216CDA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(тыс.рублей)</w:t>
      </w:r>
    </w:p>
    <w:tbl>
      <w:tblPr>
        <w:tblpPr w:leftFromText="180" w:rightFromText="180" w:vertAnchor="text" w:horzAnchor="margin" w:tblpXSpec="center" w:tblpY="26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276"/>
        <w:gridCol w:w="1417"/>
        <w:gridCol w:w="1418"/>
        <w:gridCol w:w="992"/>
        <w:gridCol w:w="992"/>
        <w:gridCol w:w="1418"/>
      </w:tblGrid>
      <w:tr w:rsidR="00CA6EF1" w:rsidRPr="009379FF" w:rsidTr="00CA6EF1">
        <w:trPr>
          <w:trHeight w:val="1150"/>
        </w:trPr>
        <w:tc>
          <w:tcPr>
            <w:tcW w:w="2660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2023 год</w:t>
            </w:r>
          </w:p>
        </w:tc>
        <w:tc>
          <w:tcPr>
            <w:tcW w:w="1417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о бюджете на 2024г. </w:t>
            </w:r>
          </w:p>
        </w:tc>
        <w:tc>
          <w:tcPr>
            <w:tcW w:w="1418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2024</w:t>
            </w:r>
          </w:p>
        </w:tc>
        <w:tc>
          <w:tcPr>
            <w:tcW w:w="992" w:type="dxa"/>
            <w:vAlign w:val="center"/>
          </w:tcPr>
          <w:p w:rsidR="00CA6EF1" w:rsidRPr="003D2606" w:rsidRDefault="006357CE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CA6EF1" w:rsidRPr="003D260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к плану </w:t>
            </w:r>
          </w:p>
        </w:tc>
        <w:tc>
          <w:tcPr>
            <w:tcW w:w="992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2023 году</w:t>
            </w:r>
          </w:p>
        </w:tc>
        <w:tc>
          <w:tcPr>
            <w:tcW w:w="1418" w:type="dxa"/>
            <w:vAlign w:val="center"/>
          </w:tcPr>
          <w:p w:rsidR="00CA6EF1" w:rsidRPr="003D2606" w:rsidRDefault="00CA6EF1" w:rsidP="00CA6E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к  2023 году</w:t>
            </w:r>
          </w:p>
        </w:tc>
      </w:tr>
      <w:tr w:rsidR="00CA6EF1" w:rsidRPr="001A0336" w:rsidTr="00CA6EF1">
        <w:tc>
          <w:tcPr>
            <w:tcW w:w="2660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Безвозмездные </w:t>
            </w: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поступления, всего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485 138,03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1 634 556,68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365 436,04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22,36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75,33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-119 701,99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152 198,75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561 342,00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140 335,50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92,21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-11 863,25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9 611,18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125 898,29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9 437,07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98,19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-174,11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321 085,55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944 051,33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214 438,06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22,71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66,79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-106 647,49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395,70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1 699,72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427,73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25,16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108,09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32,03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1 565,34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2 744,34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2 114,74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77,06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-629,60</w:t>
            </w:r>
          </w:p>
        </w:tc>
      </w:tr>
      <w:tr w:rsidR="00CA6EF1" w:rsidRPr="002C393C" w:rsidTr="00CA6EF1">
        <w:tc>
          <w:tcPr>
            <w:tcW w:w="2660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-897,49</w:t>
            </w:r>
          </w:p>
        </w:tc>
        <w:tc>
          <w:tcPr>
            <w:tcW w:w="1417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-1 317,06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146,75</w:t>
            </w:r>
          </w:p>
        </w:tc>
        <w:tc>
          <w:tcPr>
            <w:tcW w:w="1418" w:type="dxa"/>
            <w:vAlign w:val="bottom"/>
          </w:tcPr>
          <w:p w:rsidR="00CA6EF1" w:rsidRPr="00CA6EF1" w:rsidRDefault="00CA6EF1" w:rsidP="00CA6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-419,57</w:t>
            </w:r>
          </w:p>
        </w:tc>
      </w:tr>
    </w:tbl>
    <w:p w:rsidR="008C0559" w:rsidRDefault="008C0559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</w:p>
    <w:p w:rsidR="00CA6EF1" w:rsidRPr="00984EF2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>Дотаци</w:t>
      </w:r>
      <w:r>
        <w:rPr>
          <w:szCs w:val="28"/>
        </w:rPr>
        <w:t>я</w:t>
      </w:r>
      <w:r w:rsidRPr="00984EF2">
        <w:rPr>
          <w:szCs w:val="28"/>
        </w:rPr>
        <w:t xml:space="preserve"> из бюджета Ставропольского края поступил</w:t>
      </w:r>
      <w:r>
        <w:rPr>
          <w:szCs w:val="28"/>
        </w:rPr>
        <w:t>а</w:t>
      </w:r>
      <w:r w:rsidRPr="00984EF2">
        <w:rPr>
          <w:szCs w:val="28"/>
        </w:rPr>
        <w:t xml:space="preserve"> в сумме </w:t>
      </w:r>
      <w:r>
        <w:rPr>
          <w:szCs w:val="28"/>
        </w:rPr>
        <w:t>140 335,50</w:t>
      </w:r>
      <w:r w:rsidRPr="00984EF2">
        <w:rPr>
          <w:szCs w:val="28"/>
        </w:rPr>
        <w:t xml:space="preserve"> тыс. рублей</w:t>
      </w:r>
      <w:r>
        <w:rPr>
          <w:szCs w:val="28"/>
        </w:rPr>
        <w:t xml:space="preserve"> или 25,00 процента к годовым плановым назначениям</w:t>
      </w:r>
      <w:r w:rsidRPr="00984EF2">
        <w:rPr>
          <w:szCs w:val="28"/>
        </w:rPr>
        <w:t>.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При плановых назначениях по субсидиям из бюджета Ставропольского края в местный бюджет в объеме 125 898,29 тыс. рублей, фактически поступило 9 437,07</w:t>
      </w:r>
      <w:r w:rsidRPr="00984EF2">
        <w:rPr>
          <w:szCs w:val="28"/>
        </w:rPr>
        <w:t xml:space="preserve"> тыс. рублей или </w:t>
      </w:r>
      <w:r>
        <w:rPr>
          <w:szCs w:val="28"/>
        </w:rPr>
        <w:t>7,50</w:t>
      </w:r>
      <w:r w:rsidRPr="00984EF2">
        <w:rPr>
          <w:szCs w:val="28"/>
        </w:rPr>
        <w:t xml:space="preserve"> процента</w:t>
      </w:r>
      <w:r>
        <w:rPr>
          <w:szCs w:val="28"/>
        </w:rPr>
        <w:t xml:space="preserve"> к годовым плановым назначениям, в том числе на: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организациях–6 759,37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поддержку отрасли культуры – 311,32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 xml:space="preserve">обеспечение функционирования центров образования цифрового и гуманитарного профилей </w:t>
      </w:r>
      <w:r>
        <w:rPr>
          <w:szCs w:val="28"/>
        </w:rPr>
        <w:t>«</w:t>
      </w:r>
      <w:r w:rsidRPr="009450D7">
        <w:rPr>
          <w:szCs w:val="28"/>
        </w:rPr>
        <w:t>Точка роста</w:t>
      </w:r>
      <w:r>
        <w:rPr>
          <w:szCs w:val="28"/>
        </w:rPr>
        <w:t>»</w:t>
      </w:r>
      <w:r w:rsidRPr="009450D7">
        <w:rPr>
          <w:szCs w:val="28"/>
        </w:rPr>
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szCs w:val="28"/>
        </w:rPr>
        <w:t>- 2 366,38тыс. рублей.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A270E">
        <w:rPr>
          <w:szCs w:val="28"/>
        </w:rPr>
        <w:t>В доход местного бюджета поступили средства в сумме 214 438,06 тыс</w:t>
      </w:r>
      <w:r w:rsidRPr="00984EF2">
        <w:rPr>
          <w:szCs w:val="28"/>
        </w:rPr>
        <w:t xml:space="preserve">. рублей или </w:t>
      </w:r>
      <w:r>
        <w:rPr>
          <w:szCs w:val="28"/>
        </w:rPr>
        <w:t>22,71</w:t>
      </w:r>
      <w:r w:rsidRPr="00984EF2">
        <w:rPr>
          <w:szCs w:val="28"/>
        </w:rPr>
        <w:t xml:space="preserve"> процента к годовым плановым назначениям в виде субвенций</w:t>
      </w:r>
      <w:r>
        <w:rPr>
          <w:szCs w:val="28"/>
        </w:rPr>
        <w:t xml:space="preserve"> из бюджета Ставропольского края на осуществление переданных отдельных государственных полномочий</w:t>
      </w:r>
      <w:r w:rsidRPr="00984EF2">
        <w:rPr>
          <w:szCs w:val="28"/>
        </w:rPr>
        <w:t>, из них средства на: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здравоохранения</w:t>
      </w:r>
      <w:r>
        <w:rPr>
          <w:szCs w:val="28"/>
        </w:rPr>
        <w:t xml:space="preserve"> – 142,42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образования</w:t>
      </w:r>
      <w:r>
        <w:rPr>
          <w:szCs w:val="28"/>
        </w:rPr>
        <w:t xml:space="preserve"> – 399,67 тыс. рублей;</w:t>
      </w:r>
    </w:p>
    <w:p w:rsidR="00CA6EF1" w:rsidRPr="00462779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администрирование переданных отдельных </w:t>
      </w:r>
      <w:r w:rsidRPr="00462779">
        <w:rPr>
          <w:szCs w:val="28"/>
        </w:rPr>
        <w:t xml:space="preserve">государственных полномочий в области сельского хозяйства – </w:t>
      </w:r>
      <w:r>
        <w:rPr>
          <w:szCs w:val="28"/>
        </w:rPr>
        <w:t>452,18</w:t>
      </w:r>
      <w:r w:rsidRPr="00462779">
        <w:rPr>
          <w:szCs w:val="28"/>
        </w:rPr>
        <w:t xml:space="preserve">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  <w:r>
        <w:rPr>
          <w:szCs w:val="28"/>
        </w:rPr>
        <w:t xml:space="preserve"> – 400,00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5E207E">
        <w:rPr>
          <w:szCs w:val="28"/>
        </w:rPr>
        <w:lastRenderedPageBreak/>
        <w:t>выплат</w:t>
      </w:r>
      <w:r>
        <w:rPr>
          <w:szCs w:val="28"/>
        </w:rPr>
        <w:t>у</w:t>
      </w:r>
      <w:r w:rsidRPr="005E207E">
        <w:rPr>
          <w:szCs w:val="28"/>
        </w:rPr>
        <w:t xml:space="preserve"> ежемесячной денежной компенсации на каждого ребенка в возрасте до 18 лет многодетным семьям</w:t>
      </w:r>
      <w:r>
        <w:rPr>
          <w:szCs w:val="28"/>
        </w:rPr>
        <w:t xml:space="preserve"> – 17 100,00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5E207E">
        <w:rPr>
          <w:szCs w:val="28"/>
        </w:rPr>
        <w:t>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</w:t>
      </w:r>
      <w:r>
        <w:rPr>
          <w:szCs w:val="28"/>
        </w:rPr>
        <w:t xml:space="preserve"> – 286,67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создание и организация деятельности комиссий по делам несовершеннолетних и защите их прав</w:t>
      </w:r>
      <w:r>
        <w:rPr>
          <w:szCs w:val="28"/>
        </w:rPr>
        <w:t xml:space="preserve"> – 218,26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выплат</w:t>
      </w:r>
      <w:r>
        <w:rPr>
          <w:szCs w:val="28"/>
        </w:rPr>
        <w:t>у</w:t>
      </w:r>
      <w:r w:rsidRPr="00DC15FF">
        <w:rPr>
          <w:szCs w:val="28"/>
        </w:rPr>
        <w:t xml:space="preserve"> пособия на ребенка</w:t>
      </w:r>
      <w:r>
        <w:rPr>
          <w:szCs w:val="28"/>
        </w:rPr>
        <w:t xml:space="preserve"> – 21,30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</w:r>
      <w:r>
        <w:rPr>
          <w:szCs w:val="28"/>
        </w:rPr>
        <w:t>) – 5 756,89 тыс. рублей;</w:t>
      </w:r>
    </w:p>
    <w:p w:rsidR="00CA6EF1" w:rsidRPr="00462779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 xml:space="preserve">осуществление отдельных государственных полномочий в области труда и социальной защиты отдельных категорий граждан – </w:t>
      </w:r>
      <w:r>
        <w:rPr>
          <w:szCs w:val="28"/>
        </w:rPr>
        <w:t>5 523,42</w:t>
      </w:r>
      <w:r w:rsidRPr="00462779">
        <w:rPr>
          <w:szCs w:val="28"/>
        </w:rPr>
        <w:t xml:space="preserve">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отдельных государственных полномочий Ставропольского края по созданию административных комиссий</w:t>
      </w:r>
      <w:r>
        <w:rPr>
          <w:szCs w:val="28"/>
        </w:rPr>
        <w:t xml:space="preserve"> – 3,00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szCs w:val="28"/>
        </w:rPr>
        <w:t xml:space="preserve"> – 26 602,13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szCs w:val="28"/>
        </w:rPr>
        <w:t xml:space="preserve"> – 72 103,88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ежегодн</w:t>
      </w:r>
      <w:r>
        <w:rPr>
          <w:szCs w:val="28"/>
        </w:rPr>
        <w:t>ую</w:t>
      </w:r>
      <w:r w:rsidRPr="00DC15FF">
        <w:rPr>
          <w:szCs w:val="28"/>
        </w:rPr>
        <w:t xml:space="preserve"> денежн</w:t>
      </w:r>
      <w:r>
        <w:rPr>
          <w:szCs w:val="28"/>
        </w:rPr>
        <w:t>ую</w:t>
      </w:r>
      <w:r w:rsidRPr="00DC15FF">
        <w:rPr>
          <w:szCs w:val="28"/>
        </w:rPr>
        <w:t xml:space="preserve"> выплат</w:t>
      </w:r>
      <w:r>
        <w:rPr>
          <w:szCs w:val="28"/>
        </w:rPr>
        <w:t>у</w:t>
      </w:r>
      <w:r w:rsidRPr="00DC15FF">
        <w:rPr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>
        <w:rPr>
          <w:szCs w:val="28"/>
        </w:rPr>
        <w:t xml:space="preserve"> – 10 727,09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выплаты социального пособия на погребение</w:t>
      </w:r>
      <w:r>
        <w:rPr>
          <w:szCs w:val="28"/>
        </w:rPr>
        <w:t xml:space="preserve"> – 194,98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szCs w:val="28"/>
        </w:rPr>
        <w:t xml:space="preserve"> – 156,04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DC15FF">
        <w:rPr>
          <w:szCs w:val="28"/>
        </w:rPr>
        <w:t>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Cs w:val="28"/>
        </w:rPr>
        <w:t xml:space="preserve"> – 4 557,35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lastRenderedPageBreak/>
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szCs w:val="28"/>
        </w:rPr>
        <w:t xml:space="preserve"> – 10 147,21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Cs w:val="28"/>
        </w:rPr>
        <w:t xml:space="preserve"> – 432,50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– 11,87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</w:t>
      </w:r>
      <w:r>
        <w:rPr>
          <w:szCs w:val="28"/>
        </w:rPr>
        <w:t>е</w:t>
      </w:r>
      <w:r w:rsidRPr="007956AC">
        <w:rPr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8"/>
        </w:rPr>
        <w:t xml:space="preserve"> – 884,28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</w:t>
      </w:r>
      <w:r>
        <w:rPr>
          <w:szCs w:val="28"/>
        </w:rPr>
        <w:t>е</w:t>
      </w:r>
      <w:r w:rsidRPr="00DC15FF">
        <w:rPr>
          <w:szCs w:val="28"/>
        </w:rPr>
        <w:t xml:space="preserve"> ежегодной денежной выплаты лицам, награжденным нагрудным знаком </w:t>
      </w:r>
      <w:r>
        <w:rPr>
          <w:szCs w:val="28"/>
        </w:rPr>
        <w:t>«</w:t>
      </w:r>
      <w:r w:rsidRPr="00DC15FF">
        <w:rPr>
          <w:szCs w:val="28"/>
        </w:rPr>
        <w:t>Почетный донор России</w:t>
      </w:r>
      <w:r>
        <w:rPr>
          <w:szCs w:val="28"/>
        </w:rPr>
        <w:t>» - 2 848,60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оплату жилищно-коммунальных услуг отдельным категориям граждан</w:t>
      </w:r>
      <w:r>
        <w:rPr>
          <w:szCs w:val="28"/>
        </w:rPr>
        <w:t xml:space="preserve"> – 11 630,00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Cs w:val="28"/>
        </w:rPr>
        <w:t xml:space="preserve"> – 9 206,82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оказание государственной социальной помощи на основании социального контракта отдельным категориям граждан</w:t>
      </w:r>
      <w:r>
        <w:rPr>
          <w:szCs w:val="28"/>
        </w:rPr>
        <w:t xml:space="preserve"> – 7 412,24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szCs w:val="28"/>
        </w:rPr>
        <w:t xml:space="preserve"> – 399,21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осуществление отдельных государственных полномочий по социальной защите отдельных категорий граждан</w:t>
      </w:r>
      <w:r>
        <w:rPr>
          <w:szCs w:val="28"/>
        </w:rPr>
        <w:t xml:space="preserve"> – 25 081,55 тыс. рублей;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>осуществление отдельных государственных полномочий в области образования и социальной поддержки семьи и детей –</w:t>
      </w:r>
      <w:r>
        <w:rPr>
          <w:szCs w:val="28"/>
        </w:rPr>
        <w:t>1 738,50тыс. рублей.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5423BF">
        <w:rPr>
          <w:color w:val="000000" w:themeColor="text1"/>
          <w:szCs w:val="28"/>
        </w:rPr>
        <w:t>Поступления иных межбюджетных трансфертов на</w:t>
      </w:r>
      <w:r w:rsidR="003D2606">
        <w:rPr>
          <w:color w:val="000000" w:themeColor="text1"/>
          <w:szCs w:val="28"/>
        </w:rPr>
        <w:t xml:space="preserve"> </w:t>
      </w:r>
      <w:r w:rsidRPr="00C41B00">
        <w:rPr>
          <w:szCs w:val="28"/>
        </w:rPr>
        <w:t>обеспечение деятельности депутатов Думы Ставропольского края и их помощников в избирательном округе</w:t>
      </w:r>
      <w:r w:rsidR="003D2606">
        <w:rPr>
          <w:szCs w:val="28"/>
        </w:rPr>
        <w:t xml:space="preserve"> </w:t>
      </w:r>
      <w:r w:rsidRPr="005423BF">
        <w:rPr>
          <w:color w:val="000000" w:themeColor="text1"/>
          <w:szCs w:val="28"/>
        </w:rPr>
        <w:t xml:space="preserve">за отчетный период составили </w:t>
      </w:r>
      <w:r>
        <w:rPr>
          <w:color w:val="000000" w:themeColor="text1"/>
          <w:szCs w:val="28"/>
        </w:rPr>
        <w:t>427,73</w:t>
      </w:r>
      <w:r w:rsidRPr="005423BF">
        <w:rPr>
          <w:color w:val="000000" w:themeColor="text1"/>
          <w:szCs w:val="28"/>
        </w:rPr>
        <w:t xml:space="preserve">тыс. рублей или </w:t>
      </w:r>
      <w:r>
        <w:rPr>
          <w:color w:val="000000" w:themeColor="text1"/>
          <w:szCs w:val="28"/>
        </w:rPr>
        <w:t>25,16</w:t>
      </w:r>
      <w:r w:rsidRPr="005423BF">
        <w:rPr>
          <w:color w:val="000000" w:themeColor="text1"/>
          <w:szCs w:val="28"/>
        </w:rPr>
        <w:t xml:space="preserve"> процента к годовым плановым назначениям</w:t>
      </w:r>
      <w:r w:rsidRPr="00C41B00">
        <w:rPr>
          <w:szCs w:val="28"/>
        </w:rPr>
        <w:t>.</w:t>
      </w:r>
    </w:p>
    <w:p w:rsidR="00CA6EF1" w:rsidRDefault="00CA6EF1" w:rsidP="00CA6EF1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Доходы бюджета Нефтекумского муниципального округа от возврата бюджетными учреждениями остатков субсидий прошлых лет составили 797,68 тыс. рублей.</w:t>
      </w:r>
    </w:p>
    <w:p w:rsidR="003D2606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Нефтекумского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квартал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4B91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730" w:rsidRDefault="00EA5730" w:rsidP="00824C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30">
        <w:rPr>
          <w:rFonts w:ascii="Times New Roman" w:hAnsi="Times New Roman" w:cs="Times New Roman"/>
          <w:sz w:val="28"/>
          <w:szCs w:val="28"/>
        </w:rPr>
        <w:t>Расходы местного бюджета, направлены на реализацию 1</w:t>
      </w:r>
      <w:r w:rsidR="007E15C5">
        <w:rPr>
          <w:rFonts w:ascii="Times New Roman" w:hAnsi="Times New Roman" w:cs="Times New Roman"/>
          <w:sz w:val="28"/>
          <w:szCs w:val="28"/>
        </w:rPr>
        <w:t>1</w:t>
      </w:r>
      <w:r w:rsidRPr="00EA5730">
        <w:rPr>
          <w:rFonts w:ascii="Times New Roman" w:hAnsi="Times New Roman" w:cs="Times New Roman"/>
          <w:sz w:val="28"/>
          <w:szCs w:val="28"/>
        </w:rPr>
        <w:t xml:space="preserve"> муниципальных программ Нефтекумского </w:t>
      </w:r>
      <w:r w:rsidR="00275B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7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непрограммных направлений деятельности соответствующих главных распорядителей средств местного бюджета</w:t>
      </w:r>
      <w:r w:rsidR="00216CDA">
        <w:rPr>
          <w:rFonts w:ascii="Times New Roman" w:hAnsi="Times New Roman" w:cs="Times New Roman"/>
          <w:sz w:val="28"/>
          <w:szCs w:val="28"/>
        </w:rPr>
        <w:t>.</w:t>
      </w:r>
    </w:p>
    <w:p w:rsidR="00216CDA" w:rsidRDefault="00216CDA" w:rsidP="00216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F4" w:rsidRPr="00216CDA" w:rsidRDefault="005E10DD" w:rsidP="005903F4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муниципальных  программ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>муниципального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16CDA" w:rsidRPr="00216CDA">
        <w:rPr>
          <w:rFonts w:ascii="Times New Roman" w:hAnsi="Times New Roman" w:cs="Times New Roman"/>
          <w:sz w:val="28"/>
          <w:szCs w:val="28"/>
        </w:rPr>
        <w:t xml:space="preserve"> и </w:t>
      </w:r>
      <w:r w:rsidR="005903F4">
        <w:rPr>
          <w:rFonts w:ascii="Times New Roman" w:hAnsi="Times New Roman" w:cs="Times New Roman"/>
          <w:sz w:val="28"/>
          <w:szCs w:val="28"/>
        </w:rPr>
        <w:t>н</w:t>
      </w:r>
      <w:r w:rsidR="005903F4" w:rsidRPr="00216CDA">
        <w:rPr>
          <w:rFonts w:ascii="Times New Roman" w:hAnsi="Times New Roman" w:cs="Times New Roman"/>
          <w:sz w:val="28"/>
          <w:szCs w:val="28"/>
        </w:rPr>
        <w:t xml:space="preserve">епрограммные расходы органов местного самоуправления (отраслевых (функциональных) и территориальных органов администрации)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03F4" w:rsidRPr="00216C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903F4">
        <w:rPr>
          <w:rFonts w:ascii="Times New Roman" w:hAnsi="Times New Roman" w:cs="Times New Roman"/>
          <w:sz w:val="28"/>
          <w:szCs w:val="28"/>
        </w:rPr>
        <w:t>.</w:t>
      </w:r>
    </w:p>
    <w:p w:rsidR="00E72FC3" w:rsidRPr="00216CDA" w:rsidRDefault="00E72FC3" w:rsidP="00216CDA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CDA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Т</w:t>
      </w:r>
      <w:r w:rsidR="003B6BAB" w:rsidRPr="005903F4">
        <w:rPr>
          <w:rFonts w:ascii="Times New Roman" w:hAnsi="Times New Roman" w:cs="Times New Roman"/>
        </w:rPr>
        <w:t>аблица 3</w:t>
      </w:r>
    </w:p>
    <w:p w:rsidR="00E72FC3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(тыс.рублей</w:t>
      </w:r>
      <w:r w:rsidR="00E72FC3" w:rsidRPr="005903F4">
        <w:rPr>
          <w:rFonts w:ascii="Times New Roman" w:hAnsi="Times New Roman" w:cs="Times New Roman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701"/>
        <w:gridCol w:w="1701"/>
        <w:gridCol w:w="1559"/>
        <w:gridCol w:w="992"/>
      </w:tblGrid>
      <w:tr w:rsidR="00E72FC3" w:rsidRPr="002C393C" w:rsidTr="00E72FC3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E72FC3" w:rsidRPr="003D2606" w:rsidRDefault="00E72FC3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FC3" w:rsidRPr="003D2606" w:rsidRDefault="00E72FC3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FC3" w:rsidRPr="003D2606" w:rsidRDefault="00E72FC3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 решением о бюджете с учетом изменений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2FC3" w:rsidRPr="003D2606" w:rsidRDefault="00E72FC3" w:rsidP="00590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Кассовое исполнение за I кв. 20</w:t>
            </w:r>
            <w:r w:rsidR="0067776E"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903F4"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2FC3" w:rsidRPr="003D2606" w:rsidRDefault="00E72FC3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исполнения</w:t>
            </w:r>
          </w:p>
        </w:tc>
      </w:tr>
    </w:tbl>
    <w:p w:rsidR="00E72FC3" w:rsidRPr="002C393C" w:rsidRDefault="00E72FC3" w:rsidP="00E7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1701"/>
        <w:gridCol w:w="1701"/>
        <w:gridCol w:w="1559"/>
        <w:gridCol w:w="992"/>
      </w:tblGrid>
      <w:tr w:rsidR="00E72FC3" w:rsidRPr="002C393C" w:rsidTr="005903F4">
        <w:trPr>
          <w:trHeight w:val="31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8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  <w:p w:rsidR="005903F4" w:rsidRPr="005903F4" w:rsidRDefault="005903F4" w:rsidP="005903F4">
            <w:pPr>
              <w:spacing w:after="0" w:line="28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1 115 206,32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1 114 870,87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224 420,32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20,13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176 474,67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176 474,67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32 806,29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18,59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312 885,17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315 189,65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91 801,52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29,13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84 886,34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155 928,17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7 327,39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4,70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148 202,28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157 219,68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13 981,50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8,89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41 701,50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41 681,70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9 639,22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23,13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30 570,30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30 570,30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2 530,95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8,28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64 169,27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64 707,97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12 499,99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19,32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44 845,77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44 862,09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7 792,69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17,37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24 590,17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24 815,00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3 524,66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14,20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36 211,43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36 211,43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53,71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0,15</w:t>
            </w:r>
          </w:p>
        </w:tc>
      </w:tr>
      <w:tr w:rsidR="005903F4" w:rsidRPr="003F093D" w:rsidTr="003D2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5903F4">
              <w:rPr>
                <w:rFonts w:ascii="Times New Roman" w:eastAsia="Calibri" w:hAnsi="Times New Roman" w:cs="Times New Roman"/>
                <w:bCs/>
              </w:rPr>
              <w:t>Итого расходов на реализацию муниципальных программ</w:t>
            </w:r>
          </w:p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2 079 743,22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2 162 531,53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406 378,24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18,79</w:t>
            </w:r>
          </w:p>
        </w:tc>
      </w:tr>
      <w:tr w:rsidR="005903F4" w:rsidRPr="002C393C" w:rsidTr="005903F4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903F4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 (отраслевых (функциональных) и территориальных органов администрации)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132 625,80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131 417,70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22 462,24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color w:val="000000"/>
              </w:rPr>
              <w:t>17,09</w:t>
            </w:r>
          </w:p>
        </w:tc>
      </w:tr>
      <w:tr w:rsidR="005903F4" w:rsidRPr="002C393C" w:rsidTr="008F5145">
        <w:trPr>
          <w:trHeight w:val="51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3F4" w:rsidRPr="005903F4" w:rsidRDefault="005903F4" w:rsidP="005903F4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5903F4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b/>
                <w:color w:val="000000"/>
              </w:rPr>
              <w:t>2 212 369,02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b/>
                <w:color w:val="000000"/>
              </w:rPr>
              <w:t>2 293 949,23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b/>
                <w:color w:val="000000"/>
              </w:rPr>
              <w:t>428 840,48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3F4" w:rsidRPr="005903F4" w:rsidRDefault="005903F4" w:rsidP="005903F4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03F4">
              <w:rPr>
                <w:rFonts w:ascii="Times New Roman" w:eastAsia="Calibri" w:hAnsi="Times New Roman" w:cs="Times New Roman"/>
                <w:b/>
                <w:color w:val="000000"/>
              </w:rPr>
              <w:t>18,69</w:t>
            </w:r>
          </w:p>
        </w:tc>
      </w:tr>
    </w:tbl>
    <w:p w:rsidR="00E62FA1" w:rsidRPr="00E62FA1" w:rsidRDefault="008F5145" w:rsidP="002C393C">
      <w:pPr>
        <w:pStyle w:val="af8"/>
        <w:jc w:val="both"/>
      </w:pPr>
      <w:r w:rsidRPr="008F5145">
        <w:tab/>
      </w:r>
      <w:r w:rsidR="00E62FA1" w:rsidRPr="00E62FA1">
        <w:t>Исполнение расходов местного бюджета в разрезе главных распорядителей бюджетных средств</w:t>
      </w:r>
      <w:r w:rsidR="00E62FA1">
        <w:t xml:space="preserve"> </w:t>
      </w:r>
      <w:r w:rsidR="00E62FA1" w:rsidRPr="00E62FA1">
        <w:t>за 1 квартал 20</w:t>
      </w:r>
      <w:r w:rsidR="00CE2179">
        <w:t>2</w:t>
      </w:r>
      <w:r w:rsidR="005903F4">
        <w:t>4</w:t>
      </w:r>
      <w:r w:rsidR="00E62FA1" w:rsidRPr="00E62FA1">
        <w:t xml:space="preserve"> года</w:t>
      </w:r>
      <w:r w:rsidR="00151F26">
        <w:t>.</w:t>
      </w:r>
    </w:p>
    <w:p w:rsidR="00E72FC3" w:rsidRPr="006357CE" w:rsidRDefault="00E62FA1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t xml:space="preserve"> </w:t>
      </w:r>
      <w:r w:rsidR="00216CDA" w:rsidRPr="006357CE">
        <w:rPr>
          <w:rFonts w:ascii="Times New Roman" w:hAnsi="Times New Roman" w:cs="Times New Roman"/>
        </w:rPr>
        <w:t>Т</w:t>
      </w:r>
      <w:r w:rsidR="003B6BAB" w:rsidRPr="006357CE">
        <w:rPr>
          <w:rFonts w:ascii="Times New Roman" w:hAnsi="Times New Roman" w:cs="Times New Roman"/>
        </w:rPr>
        <w:t>аблица 4</w:t>
      </w:r>
    </w:p>
    <w:p w:rsidR="00216CDA" w:rsidRPr="006357CE" w:rsidRDefault="00216CDA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t>(тыс.рублей)</w:t>
      </w:r>
    </w:p>
    <w:tbl>
      <w:tblPr>
        <w:tblW w:w="10207" w:type="dxa"/>
        <w:tblInd w:w="-318" w:type="dxa"/>
        <w:tblLayout w:type="fixed"/>
        <w:tblLook w:val="04A0"/>
      </w:tblPr>
      <w:tblGrid>
        <w:gridCol w:w="4821"/>
        <w:gridCol w:w="2268"/>
        <w:gridCol w:w="1842"/>
        <w:gridCol w:w="1276"/>
      </w:tblGrid>
      <w:tr w:rsidR="003D2606" w:rsidRPr="00F21370" w:rsidTr="00584F58">
        <w:trPr>
          <w:trHeight w:val="14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06" w:rsidRPr="006357CE" w:rsidRDefault="003D2606" w:rsidP="00E7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06" w:rsidRPr="006357CE" w:rsidRDefault="003D2606" w:rsidP="003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 о бюджете с учетом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606" w:rsidRPr="006357CE" w:rsidRDefault="003D2606" w:rsidP="0059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I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06" w:rsidRPr="006357CE" w:rsidRDefault="003D2606" w:rsidP="00E7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к уточненному плану</w:t>
            </w:r>
          </w:p>
        </w:tc>
      </w:tr>
    </w:tbl>
    <w:p w:rsidR="00E72FC3" w:rsidRPr="00F21370" w:rsidRDefault="00E72FC3" w:rsidP="00E72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Layout w:type="fixed"/>
        <w:tblLook w:val="04A0"/>
      </w:tblPr>
      <w:tblGrid>
        <w:gridCol w:w="4821"/>
        <w:gridCol w:w="2268"/>
        <w:gridCol w:w="1842"/>
        <w:gridCol w:w="1276"/>
        <w:gridCol w:w="236"/>
      </w:tblGrid>
      <w:tr w:rsidR="003D2606" w:rsidRPr="006C2358" w:rsidTr="00584F58">
        <w:trPr>
          <w:gridAfter w:val="1"/>
          <w:wAfter w:w="236" w:type="dxa"/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06" w:rsidRPr="006C2358" w:rsidRDefault="003D2606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06" w:rsidRPr="006C2358" w:rsidRDefault="003D2606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06" w:rsidRPr="006C2358" w:rsidRDefault="003D2606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06" w:rsidRPr="006C2358" w:rsidRDefault="003D2606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2606" w:rsidRPr="00B079BA" w:rsidTr="00584F58">
        <w:trPr>
          <w:trHeight w:val="3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6C2358" w:rsidRDefault="003D2606" w:rsidP="003D2606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00Дума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1D207C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4 859,99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1D207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236" w:type="dxa"/>
          </w:tcPr>
          <w:p w:rsidR="003D2606" w:rsidRPr="00B079BA" w:rsidRDefault="003D2606" w:rsidP="00893811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06" w:rsidRPr="00B079BA" w:rsidTr="00584F58">
        <w:trPr>
          <w:gridAfter w:val="1"/>
          <w:wAfter w:w="236" w:type="dxa"/>
          <w:trHeight w:val="48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6C2358" w:rsidRDefault="003D2606" w:rsidP="00E62FA1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6C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319 727,82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6C2358" w:rsidRDefault="003D2606" w:rsidP="00AF794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23 539,48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06" w:rsidRPr="00B079BA" w:rsidRDefault="003D2606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04Финансовое управление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53 236,29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7 792,69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06Отдел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1 154 416,36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238 463,98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07Отдел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177 664,53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D46B5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09Управление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314 688,56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714Управление жилищно-коммунального хозяйства администрации 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6C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177 743,95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охраны окружающей среды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893811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10 069,35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44.Управление по делам территорий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893811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54 327,81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Default="003D260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</w:tr>
      <w:tr w:rsidR="003D2606" w:rsidRPr="00B079BA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6C2358" w:rsidRDefault="003D2606" w:rsidP="00B93404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893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3 675,09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61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B079BA" w:rsidRDefault="003D2606" w:rsidP="00893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3D2606" w:rsidRPr="001F7511" w:rsidTr="00584F58">
        <w:trPr>
          <w:gridAfter w:val="1"/>
          <w:wAfter w:w="23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12488D" w:rsidRDefault="003D2606" w:rsidP="00E72FC3">
            <w:pPr>
              <w:spacing w:after="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12488D" w:rsidRDefault="003D2606" w:rsidP="0089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2 293 949,23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12488D" w:rsidRDefault="003D260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428 840,48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06" w:rsidRPr="0012488D" w:rsidRDefault="003D2606" w:rsidP="0089381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18,69</w:t>
            </w:r>
          </w:p>
        </w:tc>
      </w:tr>
    </w:tbl>
    <w:p w:rsidR="009B0D63" w:rsidRDefault="009B0D63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0D63">
        <w:rPr>
          <w:rFonts w:ascii="Times New Roman" w:hAnsi="Times New Roman" w:cs="Times New Roman"/>
          <w:sz w:val="28"/>
          <w:szCs w:val="28"/>
        </w:rPr>
        <w:t>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</w:t>
      </w:r>
      <w:r>
        <w:rPr>
          <w:rFonts w:ascii="Times New Roman" w:hAnsi="Times New Roman" w:cs="Times New Roman"/>
        </w:rPr>
        <w:t>.</w:t>
      </w:r>
    </w:p>
    <w:p w:rsidR="003F5735" w:rsidRPr="004D42BB" w:rsidRDefault="003F5735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2358" w:rsidRDefault="003F5735" w:rsidP="003F5735">
      <w:pPr>
        <w:suppressAutoHyphens/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ыводы</w:t>
      </w:r>
      <w:r w:rsidR="00A11B9A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:</w:t>
      </w:r>
    </w:p>
    <w:p w:rsidR="003F5735" w:rsidRDefault="003F5735" w:rsidP="003F5735">
      <w:pPr>
        <w:suppressAutoHyphens/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2F" w:rsidRDefault="00F566C3" w:rsidP="00604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 xml:space="preserve">Полнота и достоверность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>тчет</w:t>
      </w:r>
      <w:r w:rsidR="006E67BE">
        <w:rPr>
          <w:rFonts w:ascii="Times New Roman" w:hAnsi="Times New Roman" w:cs="Times New Roman"/>
          <w:sz w:val="28"/>
          <w:szCs w:val="28"/>
        </w:rPr>
        <w:t>а об исполнении бюджета</w:t>
      </w:r>
      <w:r w:rsidR="00D830D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D830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566C3">
        <w:rPr>
          <w:rFonts w:ascii="Times New Roman" w:hAnsi="Times New Roman" w:cs="Times New Roman"/>
          <w:sz w:val="28"/>
          <w:szCs w:val="28"/>
        </w:rPr>
        <w:t>, представленно</w:t>
      </w:r>
      <w:r w:rsidR="006E67BE">
        <w:rPr>
          <w:rFonts w:ascii="Times New Roman" w:hAnsi="Times New Roman" w:cs="Times New Roman"/>
          <w:sz w:val="28"/>
          <w:szCs w:val="28"/>
        </w:rPr>
        <w:t>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администрацией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документов и материалов, представленных в составе проекта решения Думы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«Об исполнении бюджета 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1 квартал 202</w:t>
      </w:r>
      <w:r w:rsidR="00A16B61">
        <w:rPr>
          <w:rFonts w:ascii="Times New Roman" w:hAnsi="Times New Roman" w:cs="Times New Roman"/>
          <w:sz w:val="28"/>
          <w:szCs w:val="28"/>
        </w:rPr>
        <w:t>4</w:t>
      </w:r>
      <w:r w:rsidRPr="00F566C3">
        <w:rPr>
          <w:rFonts w:ascii="Times New Roman" w:hAnsi="Times New Roman" w:cs="Times New Roman"/>
          <w:sz w:val="28"/>
          <w:szCs w:val="28"/>
        </w:rPr>
        <w:t xml:space="preserve"> года», соответствуют требованиям Бюджетного кодекса</w:t>
      </w:r>
      <w:r w:rsidR="0033412F">
        <w:rPr>
          <w:rFonts w:ascii="Times New Roman" w:hAnsi="Times New Roman" w:cs="Times New Roman"/>
          <w:sz w:val="28"/>
          <w:szCs w:val="28"/>
        </w:rPr>
        <w:t xml:space="preserve"> РФ</w:t>
      </w:r>
      <w:r w:rsidR="00E32F32">
        <w:rPr>
          <w:rFonts w:ascii="Times New Roman" w:hAnsi="Times New Roman" w:cs="Times New Roman"/>
          <w:sz w:val="28"/>
          <w:szCs w:val="28"/>
        </w:rPr>
        <w:t xml:space="preserve"> и Положению о бюджетном процессе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E32F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566C3" w:rsidRPr="00F566C3" w:rsidRDefault="00F566C3" w:rsidP="00DF3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216CD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647E3D">
        <w:rPr>
          <w:rFonts w:ascii="Times New Roman" w:hAnsi="Times New Roman" w:cs="Times New Roman"/>
          <w:sz w:val="28"/>
          <w:szCs w:val="28"/>
        </w:rPr>
        <w:t>муниципального</w:t>
      </w:r>
      <w:r w:rsid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566C3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</w:t>
      </w:r>
      <w:r w:rsidR="00A11B9A">
        <w:rPr>
          <w:rFonts w:ascii="Times New Roman" w:hAnsi="Times New Roman" w:cs="Times New Roman"/>
          <w:sz w:val="28"/>
          <w:szCs w:val="28"/>
        </w:rPr>
        <w:t>за 1 квартал 202</w:t>
      </w:r>
      <w:r w:rsidR="00647E3D">
        <w:rPr>
          <w:rFonts w:ascii="Times New Roman" w:hAnsi="Times New Roman" w:cs="Times New Roman"/>
          <w:sz w:val="28"/>
          <w:szCs w:val="28"/>
        </w:rPr>
        <w:t>4</w:t>
      </w:r>
      <w:r w:rsidR="00A11B9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66C3">
        <w:rPr>
          <w:rFonts w:ascii="Times New Roman" w:hAnsi="Times New Roman" w:cs="Times New Roman"/>
          <w:sz w:val="28"/>
          <w:szCs w:val="28"/>
        </w:rPr>
        <w:t>к рассмотрению</w:t>
      </w:r>
      <w:r w:rsidR="005318B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F566C3">
        <w:rPr>
          <w:rFonts w:ascii="Times New Roman" w:hAnsi="Times New Roman" w:cs="Times New Roman"/>
          <w:sz w:val="28"/>
          <w:szCs w:val="28"/>
        </w:rPr>
        <w:t>.</w:t>
      </w:r>
    </w:p>
    <w:p w:rsidR="00756187" w:rsidRDefault="0075618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51F26" w:rsidRDefault="00151F26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Pr="00F566C3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74B91" w:rsidRPr="002C7E15" w:rsidRDefault="00374B91" w:rsidP="00374B91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C7E15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24787E">
        <w:rPr>
          <w:rFonts w:ascii="Times New Roman" w:hAnsi="Times New Roman" w:cs="Times New Roman"/>
          <w:sz w:val="28"/>
          <w:szCs w:val="28"/>
        </w:rPr>
        <w:t>КСП</w:t>
      </w:r>
      <w:r w:rsidR="00DF3217">
        <w:rPr>
          <w:rFonts w:ascii="Times New Roman" w:hAnsi="Times New Roman" w:cs="Times New Roman"/>
          <w:sz w:val="28"/>
          <w:szCs w:val="28"/>
        </w:rPr>
        <w:t xml:space="preserve"> Н</w:t>
      </w:r>
      <w:r w:rsidR="00647E3D">
        <w:rPr>
          <w:rFonts w:ascii="Times New Roman" w:hAnsi="Times New Roman" w:cs="Times New Roman"/>
          <w:sz w:val="28"/>
          <w:szCs w:val="28"/>
        </w:rPr>
        <w:t>М</w:t>
      </w:r>
      <w:r w:rsidR="00DF3217">
        <w:rPr>
          <w:rFonts w:ascii="Times New Roman" w:hAnsi="Times New Roman" w:cs="Times New Roman"/>
          <w:sz w:val="28"/>
          <w:szCs w:val="28"/>
        </w:rPr>
        <w:t>О СК</w:t>
      </w:r>
      <w:r w:rsidR="0024787E">
        <w:rPr>
          <w:rFonts w:ascii="Times New Roman" w:hAnsi="Times New Roman" w:cs="Times New Roman"/>
          <w:sz w:val="28"/>
          <w:szCs w:val="28"/>
        </w:rPr>
        <w:t xml:space="preserve"> </w:t>
      </w:r>
      <w:r w:rsidRPr="002C7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Г.В. Хусейнова</w:t>
      </w:r>
    </w:p>
    <w:p w:rsidR="00054D24" w:rsidRPr="002C7E15" w:rsidRDefault="00054D24">
      <w:pPr>
        <w:rPr>
          <w:rFonts w:ascii="Times New Roman" w:hAnsi="Times New Roman" w:cs="Times New Roman"/>
          <w:sz w:val="28"/>
          <w:szCs w:val="28"/>
        </w:rPr>
      </w:pPr>
    </w:p>
    <w:sectPr w:rsidR="00054D24" w:rsidRPr="002C7E15" w:rsidSect="00EF0A6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BA" w:rsidRDefault="00DC63BA" w:rsidP="00FA4806">
      <w:pPr>
        <w:spacing w:after="0" w:line="240" w:lineRule="auto"/>
      </w:pPr>
      <w:r>
        <w:separator/>
      </w:r>
    </w:p>
  </w:endnote>
  <w:endnote w:type="continuationSeparator" w:id="1">
    <w:p w:rsidR="00DC63BA" w:rsidRDefault="00DC63BA" w:rsidP="00F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162"/>
      <w:docPartObj>
        <w:docPartGallery w:val="Page Numbers (Bottom of Page)"/>
        <w:docPartUnique/>
      </w:docPartObj>
    </w:sdtPr>
    <w:sdtContent>
      <w:p w:rsidR="004F644D" w:rsidRDefault="004F644D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644D" w:rsidRDefault="004F64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BA" w:rsidRDefault="00DC63BA" w:rsidP="00FA4806">
      <w:pPr>
        <w:spacing w:after="0" w:line="240" w:lineRule="auto"/>
      </w:pPr>
      <w:r>
        <w:separator/>
      </w:r>
    </w:p>
  </w:footnote>
  <w:footnote w:type="continuationSeparator" w:id="1">
    <w:p w:rsidR="00DC63BA" w:rsidRDefault="00DC63BA" w:rsidP="00F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51A"/>
    <w:multiLevelType w:val="hybridMultilevel"/>
    <w:tmpl w:val="FC4A36E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B91"/>
    <w:rsid w:val="000033A7"/>
    <w:rsid w:val="0001446C"/>
    <w:rsid w:val="00030CEE"/>
    <w:rsid w:val="00034982"/>
    <w:rsid w:val="00035DA4"/>
    <w:rsid w:val="00054D24"/>
    <w:rsid w:val="00066054"/>
    <w:rsid w:val="00070C42"/>
    <w:rsid w:val="000745D2"/>
    <w:rsid w:val="000A5839"/>
    <w:rsid w:val="000B5EAF"/>
    <w:rsid w:val="000B62A7"/>
    <w:rsid w:val="000E029D"/>
    <w:rsid w:val="000E3A6A"/>
    <w:rsid w:val="00111BFC"/>
    <w:rsid w:val="001127AE"/>
    <w:rsid w:val="00112D5E"/>
    <w:rsid w:val="00114370"/>
    <w:rsid w:val="00120432"/>
    <w:rsid w:val="0012488D"/>
    <w:rsid w:val="00142FCA"/>
    <w:rsid w:val="00151F26"/>
    <w:rsid w:val="00157AE2"/>
    <w:rsid w:val="00163DCC"/>
    <w:rsid w:val="001822F9"/>
    <w:rsid w:val="0018589A"/>
    <w:rsid w:val="0019630E"/>
    <w:rsid w:val="00196CAF"/>
    <w:rsid w:val="001A0336"/>
    <w:rsid w:val="001B3266"/>
    <w:rsid w:val="001B3433"/>
    <w:rsid w:val="001B4B96"/>
    <w:rsid w:val="001B7C12"/>
    <w:rsid w:val="001D207C"/>
    <w:rsid w:val="001E7D02"/>
    <w:rsid w:val="001F2CA6"/>
    <w:rsid w:val="001F6268"/>
    <w:rsid w:val="002146C1"/>
    <w:rsid w:val="00216CDA"/>
    <w:rsid w:val="00232F10"/>
    <w:rsid w:val="00246313"/>
    <w:rsid w:val="0024787E"/>
    <w:rsid w:val="00247F93"/>
    <w:rsid w:val="00256D53"/>
    <w:rsid w:val="002640E4"/>
    <w:rsid w:val="00274360"/>
    <w:rsid w:val="00275BBB"/>
    <w:rsid w:val="002910C7"/>
    <w:rsid w:val="002A13E5"/>
    <w:rsid w:val="002C393C"/>
    <w:rsid w:val="002C5EE5"/>
    <w:rsid w:val="002C7E15"/>
    <w:rsid w:val="002D2155"/>
    <w:rsid w:val="002D7F6A"/>
    <w:rsid w:val="003027CC"/>
    <w:rsid w:val="00307556"/>
    <w:rsid w:val="00310096"/>
    <w:rsid w:val="0031487F"/>
    <w:rsid w:val="003219F0"/>
    <w:rsid w:val="0033412F"/>
    <w:rsid w:val="0034097C"/>
    <w:rsid w:val="00356350"/>
    <w:rsid w:val="0036077D"/>
    <w:rsid w:val="00365A9C"/>
    <w:rsid w:val="003665BC"/>
    <w:rsid w:val="00367C68"/>
    <w:rsid w:val="003721C3"/>
    <w:rsid w:val="00373EE3"/>
    <w:rsid w:val="00374B91"/>
    <w:rsid w:val="00375894"/>
    <w:rsid w:val="003A08CA"/>
    <w:rsid w:val="003A1ADD"/>
    <w:rsid w:val="003B2739"/>
    <w:rsid w:val="003B28AF"/>
    <w:rsid w:val="003B6BAB"/>
    <w:rsid w:val="003D2606"/>
    <w:rsid w:val="003D2F0F"/>
    <w:rsid w:val="003D67AE"/>
    <w:rsid w:val="003E266A"/>
    <w:rsid w:val="003E3020"/>
    <w:rsid w:val="003F44C1"/>
    <w:rsid w:val="003F47F0"/>
    <w:rsid w:val="003F5342"/>
    <w:rsid w:val="003F5735"/>
    <w:rsid w:val="00402B4D"/>
    <w:rsid w:val="00403507"/>
    <w:rsid w:val="00406390"/>
    <w:rsid w:val="004078B3"/>
    <w:rsid w:val="00416C8C"/>
    <w:rsid w:val="0044158F"/>
    <w:rsid w:val="0045736D"/>
    <w:rsid w:val="0049200B"/>
    <w:rsid w:val="00492FEE"/>
    <w:rsid w:val="00494513"/>
    <w:rsid w:val="004C2F3C"/>
    <w:rsid w:val="004C4FA9"/>
    <w:rsid w:val="004D6C85"/>
    <w:rsid w:val="004E430B"/>
    <w:rsid w:val="004E7F33"/>
    <w:rsid w:val="004F08A0"/>
    <w:rsid w:val="004F1BAC"/>
    <w:rsid w:val="004F2645"/>
    <w:rsid w:val="004F644D"/>
    <w:rsid w:val="00507A68"/>
    <w:rsid w:val="00511EA3"/>
    <w:rsid w:val="00523A0F"/>
    <w:rsid w:val="005260FF"/>
    <w:rsid w:val="005318B6"/>
    <w:rsid w:val="0053591A"/>
    <w:rsid w:val="00542EAB"/>
    <w:rsid w:val="00543344"/>
    <w:rsid w:val="00562404"/>
    <w:rsid w:val="00565F7B"/>
    <w:rsid w:val="00571551"/>
    <w:rsid w:val="00573454"/>
    <w:rsid w:val="00580A98"/>
    <w:rsid w:val="00584F58"/>
    <w:rsid w:val="005903F4"/>
    <w:rsid w:val="005A297B"/>
    <w:rsid w:val="005A4AEE"/>
    <w:rsid w:val="005A503A"/>
    <w:rsid w:val="005B1E3E"/>
    <w:rsid w:val="005B623C"/>
    <w:rsid w:val="005B7195"/>
    <w:rsid w:val="005C1679"/>
    <w:rsid w:val="005C3916"/>
    <w:rsid w:val="005D0348"/>
    <w:rsid w:val="005D4DA0"/>
    <w:rsid w:val="005E10DD"/>
    <w:rsid w:val="005E5698"/>
    <w:rsid w:val="006043E2"/>
    <w:rsid w:val="00605AFA"/>
    <w:rsid w:val="00605C16"/>
    <w:rsid w:val="00605F7B"/>
    <w:rsid w:val="00613322"/>
    <w:rsid w:val="00617505"/>
    <w:rsid w:val="0062340C"/>
    <w:rsid w:val="006277D1"/>
    <w:rsid w:val="00627819"/>
    <w:rsid w:val="00632DA1"/>
    <w:rsid w:val="006357CE"/>
    <w:rsid w:val="00635AE5"/>
    <w:rsid w:val="00647E3D"/>
    <w:rsid w:val="006671D8"/>
    <w:rsid w:val="0067776E"/>
    <w:rsid w:val="0068011D"/>
    <w:rsid w:val="006832D0"/>
    <w:rsid w:val="00685A73"/>
    <w:rsid w:val="00692832"/>
    <w:rsid w:val="006B0D2D"/>
    <w:rsid w:val="006B2A41"/>
    <w:rsid w:val="006B2BA6"/>
    <w:rsid w:val="006C2358"/>
    <w:rsid w:val="006C7E4B"/>
    <w:rsid w:val="006D06C7"/>
    <w:rsid w:val="006E67BE"/>
    <w:rsid w:val="006F1F88"/>
    <w:rsid w:val="006F779C"/>
    <w:rsid w:val="00707ACE"/>
    <w:rsid w:val="00711B8B"/>
    <w:rsid w:val="0072737A"/>
    <w:rsid w:val="00736115"/>
    <w:rsid w:val="00743A4D"/>
    <w:rsid w:val="00754D0D"/>
    <w:rsid w:val="00756187"/>
    <w:rsid w:val="00757B3F"/>
    <w:rsid w:val="00757DAC"/>
    <w:rsid w:val="00774739"/>
    <w:rsid w:val="00780E65"/>
    <w:rsid w:val="00793D2F"/>
    <w:rsid w:val="00796EF4"/>
    <w:rsid w:val="007A0701"/>
    <w:rsid w:val="007A337F"/>
    <w:rsid w:val="007B6322"/>
    <w:rsid w:val="007C7A6A"/>
    <w:rsid w:val="007D4692"/>
    <w:rsid w:val="007E15C5"/>
    <w:rsid w:val="007E2AC6"/>
    <w:rsid w:val="007E5862"/>
    <w:rsid w:val="00823FC7"/>
    <w:rsid w:val="00824C19"/>
    <w:rsid w:val="00831C87"/>
    <w:rsid w:val="008336B2"/>
    <w:rsid w:val="00836959"/>
    <w:rsid w:val="00844781"/>
    <w:rsid w:val="00876491"/>
    <w:rsid w:val="00890787"/>
    <w:rsid w:val="00890FC8"/>
    <w:rsid w:val="00893209"/>
    <w:rsid w:val="00893769"/>
    <w:rsid w:val="00893811"/>
    <w:rsid w:val="00894E43"/>
    <w:rsid w:val="008B1151"/>
    <w:rsid w:val="008B1D25"/>
    <w:rsid w:val="008C0559"/>
    <w:rsid w:val="008C19C7"/>
    <w:rsid w:val="008C2795"/>
    <w:rsid w:val="008C6CA8"/>
    <w:rsid w:val="008C6E63"/>
    <w:rsid w:val="008D5797"/>
    <w:rsid w:val="008D6561"/>
    <w:rsid w:val="008E0B67"/>
    <w:rsid w:val="008F5145"/>
    <w:rsid w:val="009030BD"/>
    <w:rsid w:val="00903157"/>
    <w:rsid w:val="009049CB"/>
    <w:rsid w:val="00910052"/>
    <w:rsid w:val="009103F1"/>
    <w:rsid w:val="00911340"/>
    <w:rsid w:val="00917D0C"/>
    <w:rsid w:val="009200DA"/>
    <w:rsid w:val="00924338"/>
    <w:rsid w:val="00927FEA"/>
    <w:rsid w:val="009379FF"/>
    <w:rsid w:val="009454A3"/>
    <w:rsid w:val="00956316"/>
    <w:rsid w:val="00967FEF"/>
    <w:rsid w:val="00975F72"/>
    <w:rsid w:val="00975FBF"/>
    <w:rsid w:val="00986158"/>
    <w:rsid w:val="009869BE"/>
    <w:rsid w:val="0099723B"/>
    <w:rsid w:val="009B07E2"/>
    <w:rsid w:val="009B0D63"/>
    <w:rsid w:val="009B584C"/>
    <w:rsid w:val="009C13D1"/>
    <w:rsid w:val="009F766A"/>
    <w:rsid w:val="00A10FB1"/>
    <w:rsid w:val="00A11B9A"/>
    <w:rsid w:val="00A16310"/>
    <w:rsid w:val="00A16B61"/>
    <w:rsid w:val="00A3428C"/>
    <w:rsid w:val="00A730E6"/>
    <w:rsid w:val="00A7368C"/>
    <w:rsid w:val="00A918EE"/>
    <w:rsid w:val="00AA7DA6"/>
    <w:rsid w:val="00AB3952"/>
    <w:rsid w:val="00AB5819"/>
    <w:rsid w:val="00AD0880"/>
    <w:rsid w:val="00AD141B"/>
    <w:rsid w:val="00AD3667"/>
    <w:rsid w:val="00AE219D"/>
    <w:rsid w:val="00AF794D"/>
    <w:rsid w:val="00AF7FC9"/>
    <w:rsid w:val="00B079BA"/>
    <w:rsid w:val="00B14261"/>
    <w:rsid w:val="00B2496B"/>
    <w:rsid w:val="00B25B51"/>
    <w:rsid w:val="00B27E93"/>
    <w:rsid w:val="00B310FC"/>
    <w:rsid w:val="00B34AF6"/>
    <w:rsid w:val="00B64374"/>
    <w:rsid w:val="00B7738B"/>
    <w:rsid w:val="00B865F7"/>
    <w:rsid w:val="00B874C6"/>
    <w:rsid w:val="00B87525"/>
    <w:rsid w:val="00B93404"/>
    <w:rsid w:val="00BA19BC"/>
    <w:rsid w:val="00BC31C4"/>
    <w:rsid w:val="00BC7448"/>
    <w:rsid w:val="00BE031C"/>
    <w:rsid w:val="00C05057"/>
    <w:rsid w:val="00C133E1"/>
    <w:rsid w:val="00C1371A"/>
    <w:rsid w:val="00C349CC"/>
    <w:rsid w:val="00C538E4"/>
    <w:rsid w:val="00C56D24"/>
    <w:rsid w:val="00C57323"/>
    <w:rsid w:val="00C57E02"/>
    <w:rsid w:val="00C65B09"/>
    <w:rsid w:val="00C71270"/>
    <w:rsid w:val="00C72A35"/>
    <w:rsid w:val="00C813CF"/>
    <w:rsid w:val="00C86CF0"/>
    <w:rsid w:val="00C875AD"/>
    <w:rsid w:val="00C914A7"/>
    <w:rsid w:val="00C91661"/>
    <w:rsid w:val="00CA2E04"/>
    <w:rsid w:val="00CA6EF1"/>
    <w:rsid w:val="00CB0B5E"/>
    <w:rsid w:val="00CB3535"/>
    <w:rsid w:val="00CC1D62"/>
    <w:rsid w:val="00CC3A03"/>
    <w:rsid w:val="00CD1404"/>
    <w:rsid w:val="00CD221A"/>
    <w:rsid w:val="00CE2179"/>
    <w:rsid w:val="00CE4A9B"/>
    <w:rsid w:val="00CE78FC"/>
    <w:rsid w:val="00D172C7"/>
    <w:rsid w:val="00D268CB"/>
    <w:rsid w:val="00D317A8"/>
    <w:rsid w:val="00D46B53"/>
    <w:rsid w:val="00D6172B"/>
    <w:rsid w:val="00D62CBC"/>
    <w:rsid w:val="00D66727"/>
    <w:rsid w:val="00D71BE4"/>
    <w:rsid w:val="00D830DC"/>
    <w:rsid w:val="00D84152"/>
    <w:rsid w:val="00D97A7B"/>
    <w:rsid w:val="00DB1FA6"/>
    <w:rsid w:val="00DB5F87"/>
    <w:rsid w:val="00DB680B"/>
    <w:rsid w:val="00DB71BA"/>
    <w:rsid w:val="00DC569B"/>
    <w:rsid w:val="00DC63BA"/>
    <w:rsid w:val="00DC7236"/>
    <w:rsid w:val="00DD55FB"/>
    <w:rsid w:val="00DF3217"/>
    <w:rsid w:val="00DF7FA9"/>
    <w:rsid w:val="00E00202"/>
    <w:rsid w:val="00E0101D"/>
    <w:rsid w:val="00E03901"/>
    <w:rsid w:val="00E07D3A"/>
    <w:rsid w:val="00E17C99"/>
    <w:rsid w:val="00E268F7"/>
    <w:rsid w:val="00E32F32"/>
    <w:rsid w:val="00E466D0"/>
    <w:rsid w:val="00E50AC8"/>
    <w:rsid w:val="00E62FA1"/>
    <w:rsid w:val="00E67BA7"/>
    <w:rsid w:val="00E72FC3"/>
    <w:rsid w:val="00E7692C"/>
    <w:rsid w:val="00E929A2"/>
    <w:rsid w:val="00E9724D"/>
    <w:rsid w:val="00EA383B"/>
    <w:rsid w:val="00EA5730"/>
    <w:rsid w:val="00EA7A29"/>
    <w:rsid w:val="00EC7B78"/>
    <w:rsid w:val="00ED0207"/>
    <w:rsid w:val="00EE3969"/>
    <w:rsid w:val="00EE4CCC"/>
    <w:rsid w:val="00EE76AE"/>
    <w:rsid w:val="00EF0A6B"/>
    <w:rsid w:val="00EF36E0"/>
    <w:rsid w:val="00F06CB7"/>
    <w:rsid w:val="00F154CB"/>
    <w:rsid w:val="00F21370"/>
    <w:rsid w:val="00F22919"/>
    <w:rsid w:val="00F311BA"/>
    <w:rsid w:val="00F33B88"/>
    <w:rsid w:val="00F37885"/>
    <w:rsid w:val="00F42420"/>
    <w:rsid w:val="00F467B6"/>
    <w:rsid w:val="00F46D48"/>
    <w:rsid w:val="00F566C3"/>
    <w:rsid w:val="00F5738F"/>
    <w:rsid w:val="00F631E2"/>
    <w:rsid w:val="00F748F6"/>
    <w:rsid w:val="00F80F83"/>
    <w:rsid w:val="00F9402C"/>
    <w:rsid w:val="00F97F4C"/>
    <w:rsid w:val="00FA14B6"/>
    <w:rsid w:val="00FA4806"/>
    <w:rsid w:val="00FA59DA"/>
    <w:rsid w:val="00FB41F7"/>
    <w:rsid w:val="00FB4379"/>
    <w:rsid w:val="00FB7938"/>
    <w:rsid w:val="00FC3C7C"/>
    <w:rsid w:val="00FC60B5"/>
    <w:rsid w:val="00FD1AB0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91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E72FC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C3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3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4B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B91"/>
  </w:style>
  <w:style w:type="paragraph" w:styleId="a7">
    <w:name w:val="footer"/>
    <w:basedOn w:val="a"/>
    <w:link w:val="a8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74B91"/>
  </w:style>
  <w:style w:type="paragraph" w:styleId="a9">
    <w:name w:val="Body Text"/>
    <w:basedOn w:val="a"/>
    <w:link w:val="aa"/>
    <w:rsid w:val="00374B91"/>
    <w:pPr>
      <w:spacing w:after="120" w:line="240" w:lineRule="auto"/>
    </w:pPr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74B91"/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74B91"/>
    <w:pPr>
      <w:ind w:left="720"/>
      <w:contextualSpacing/>
    </w:pPr>
  </w:style>
  <w:style w:type="paragraph" w:styleId="ac">
    <w:name w:val="Body Text Indent"/>
    <w:basedOn w:val="a"/>
    <w:link w:val="ad"/>
    <w:rsid w:val="00374B91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74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умерованный абзац"/>
    <w:rsid w:val="00374B91"/>
    <w:pPr>
      <w:tabs>
        <w:tab w:val="left" w:pos="1134"/>
        <w:tab w:val="num" w:pos="1571"/>
      </w:tabs>
      <w:suppressAutoHyphens/>
      <w:spacing w:before="240"/>
      <w:ind w:firstLine="851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">
    <w:name w:val="Normal (Web)"/>
    <w:basedOn w:val="a"/>
    <w:unhideWhenUsed/>
    <w:rsid w:val="003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0E6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72F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7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72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E72FC3"/>
  </w:style>
  <w:style w:type="character" w:customStyle="1" w:styleId="af3">
    <w:name w:val="Знак Знак"/>
    <w:locked/>
    <w:rsid w:val="00E72FC3"/>
    <w:rPr>
      <w:b/>
      <w:bCs/>
      <w:sz w:val="28"/>
      <w:szCs w:val="28"/>
      <w:lang w:val="ru-RU" w:eastAsia="ru-RU" w:bidi="ar-SA"/>
    </w:rPr>
  </w:style>
  <w:style w:type="paragraph" w:customStyle="1" w:styleId="af4">
    <w:name w:val="Знак"/>
    <w:basedOn w:val="a"/>
    <w:rsid w:val="00E72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Маркер"/>
    <w:basedOn w:val="a"/>
    <w:autoRedefine/>
    <w:rsid w:val="00E72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72F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F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E72FC3"/>
    <w:rPr>
      <w:color w:val="0000FF"/>
      <w:u w:val="single"/>
    </w:rPr>
  </w:style>
  <w:style w:type="character" w:styleId="af7">
    <w:name w:val="FollowedHyperlink"/>
    <w:uiPriority w:val="99"/>
    <w:unhideWhenUsed/>
    <w:rsid w:val="00E72FC3"/>
    <w:rPr>
      <w:color w:val="800080"/>
      <w:u w:val="single"/>
    </w:rPr>
  </w:style>
  <w:style w:type="paragraph" w:customStyle="1" w:styleId="ConsPlusTitle">
    <w:name w:val="ConsPlu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E7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72F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E62FA1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45D6-8015-44AB-92AC-367E8582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35</cp:revision>
  <cp:lastPrinted>2024-06-03T07:51:00Z</cp:lastPrinted>
  <dcterms:created xsi:type="dcterms:W3CDTF">2023-04-27T04:25:00Z</dcterms:created>
  <dcterms:modified xsi:type="dcterms:W3CDTF">2024-06-03T08:01:00Z</dcterms:modified>
</cp:coreProperties>
</file>