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09" w:rsidRPr="00D322A9" w:rsidRDefault="00101F09" w:rsidP="00D322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390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>КОНТРОЛЬНО – СЧЕТНАЯ ПАЛАТА</w:t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 xml:space="preserve">НЕФТЕКУМСКОГО </w:t>
      </w:r>
      <w:r w:rsidR="001452B9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777ACF" w:rsidRPr="00D322A9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01F09" w:rsidRPr="00D322A9" w:rsidRDefault="00BF4128" w:rsidP="00D322A9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101F09" w:rsidRDefault="00101F09" w:rsidP="00D322A9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1787">
        <w:rPr>
          <w:rFonts w:ascii="Times New Roman" w:hAnsi="Times New Roman" w:cs="Times New Roman"/>
          <w:sz w:val="28"/>
          <w:szCs w:val="28"/>
        </w:rPr>
        <w:t>Заключение №</w:t>
      </w:r>
      <w:r w:rsidR="000445B2">
        <w:rPr>
          <w:rFonts w:ascii="Times New Roman" w:hAnsi="Times New Roman" w:cs="Times New Roman"/>
          <w:sz w:val="28"/>
          <w:szCs w:val="28"/>
        </w:rPr>
        <w:t>3</w:t>
      </w:r>
      <w:r w:rsidR="00246EBE">
        <w:rPr>
          <w:rFonts w:ascii="Times New Roman" w:hAnsi="Times New Roman" w:cs="Times New Roman"/>
          <w:sz w:val="28"/>
          <w:szCs w:val="28"/>
        </w:rPr>
        <w:t>7</w:t>
      </w:r>
    </w:p>
    <w:p w:rsidR="003E49CC" w:rsidRPr="003E49CC" w:rsidRDefault="00101F09" w:rsidP="00246E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E49CC">
        <w:rPr>
          <w:rFonts w:ascii="Times New Roman" w:hAnsi="Times New Roman" w:cs="Times New Roman"/>
          <w:b w:val="0"/>
          <w:sz w:val="28"/>
          <w:szCs w:val="28"/>
        </w:rPr>
        <w:t xml:space="preserve">по результатам экспертизы  проекта решения </w:t>
      </w:r>
      <w:r w:rsidR="00777ACF" w:rsidRPr="003E49CC">
        <w:rPr>
          <w:rFonts w:ascii="Times New Roman" w:hAnsi="Times New Roman" w:cs="Times New Roman"/>
          <w:b w:val="0"/>
          <w:sz w:val="28"/>
          <w:szCs w:val="28"/>
        </w:rPr>
        <w:t>Думы</w:t>
      </w:r>
      <w:r w:rsidRPr="003E49CC">
        <w:rPr>
          <w:rFonts w:ascii="Times New Roman" w:hAnsi="Times New Roman" w:cs="Times New Roman"/>
          <w:b w:val="0"/>
          <w:sz w:val="28"/>
          <w:szCs w:val="28"/>
        </w:rPr>
        <w:t xml:space="preserve"> Нефтекумского </w:t>
      </w:r>
      <w:r w:rsidR="001452B9" w:rsidRPr="003E49CC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777ACF" w:rsidRPr="003E49CC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</w:t>
      </w:r>
      <w:r w:rsidR="00C065AB" w:rsidRPr="003E49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5261" w:rsidRPr="003E49CC">
        <w:rPr>
          <w:rFonts w:ascii="Times New Roman" w:hAnsi="Times New Roman" w:cs="Times New Roman"/>
          <w:b w:val="0"/>
          <w:sz w:val="28"/>
          <w:szCs w:val="28"/>
        </w:rPr>
        <w:t>«</w:t>
      </w:r>
      <w:r w:rsidR="00246EBE">
        <w:rPr>
          <w:rFonts w:ascii="Times New Roman" w:hAnsi="Times New Roman" w:cs="Times New Roman"/>
          <w:b w:val="0"/>
          <w:sz w:val="28"/>
          <w:szCs w:val="28"/>
        </w:rPr>
        <w:t>Об установлении доли дотации на выравнивание бюджетной обеспеченности, подлежащей замене на дополнительный норматив отчислений от налога на доходы физических лиц</w:t>
      </w:r>
      <w:r w:rsidR="003E49CC" w:rsidRPr="003E49CC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065AB" w:rsidRPr="003E49CC" w:rsidRDefault="00C065AB" w:rsidP="003E4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F09" w:rsidRPr="00D322A9" w:rsidRDefault="00246EBE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0445B2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1452B9">
        <w:rPr>
          <w:rFonts w:ascii="Times New Roman" w:hAnsi="Times New Roman" w:cs="Times New Roman"/>
          <w:sz w:val="28"/>
          <w:szCs w:val="28"/>
        </w:rPr>
        <w:t xml:space="preserve"> </w:t>
      </w:r>
      <w:r w:rsidR="00101F09" w:rsidRPr="00D322A9">
        <w:rPr>
          <w:rFonts w:ascii="Times New Roman" w:hAnsi="Times New Roman" w:cs="Times New Roman"/>
          <w:sz w:val="28"/>
          <w:szCs w:val="28"/>
        </w:rPr>
        <w:t>20</w:t>
      </w:r>
      <w:r w:rsidR="002311A0" w:rsidRPr="00D322A9">
        <w:rPr>
          <w:rFonts w:ascii="Times New Roman" w:hAnsi="Times New Roman" w:cs="Times New Roman"/>
          <w:sz w:val="28"/>
          <w:szCs w:val="28"/>
        </w:rPr>
        <w:t>2</w:t>
      </w:r>
      <w:r w:rsidR="001452B9">
        <w:rPr>
          <w:rFonts w:ascii="Times New Roman" w:hAnsi="Times New Roman" w:cs="Times New Roman"/>
          <w:sz w:val="28"/>
          <w:szCs w:val="28"/>
        </w:rPr>
        <w:t>4</w:t>
      </w:r>
      <w:r w:rsidR="00101F09" w:rsidRPr="00D322A9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г</w:t>
      </w:r>
      <w:proofErr w:type="gramStart"/>
      <w:r w:rsidR="00101F09" w:rsidRPr="00D322A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01F09" w:rsidRPr="00D322A9">
        <w:rPr>
          <w:rFonts w:ascii="Times New Roman" w:hAnsi="Times New Roman" w:cs="Times New Roman"/>
          <w:sz w:val="28"/>
          <w:szCs w:val="28"/>
        </w:rPr>
        <w:t>ефтекумск</w:t>
      </w:r>
    </w:p>
    <w:p w:rsidR="00101F09" w:rsidRDefault="00101F09" w:rsidP="00246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F09" w:rsidRPr="003E49CC" w:rsidRDefault="00101F09" w:rsidP="003E49C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49CC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9E7FFA" w:rsidRPr="003E49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E49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3E49CC">
        <w:rPr>
          <w:rFonts w:ascii="Times New Roman" w:hAnsi="Times New Roman" w:cs="Times New Roman"/>
          <w:b w:val="0"/>
          <w:sz w:val="28"/>
          <w:szCs w:val="28"/>
        </w:rPr>
        <w:t xml:space="preserve">На основании пункта </w:t>
      </w:r>
      <w:r w:rsidR="00246EBE">
        <w:rPr>
          <w:rFonts w:ascii="Times New Roman" w:hAnsi="Times New Roman" w:cs="Times New Roman"/>
          <w:b w:val="0"/>
          <w:sz w:val="28"/>
          <w:szCs w:val="28"/>
        </w:rPr>
        <w:t>6</w:t>
      </w:r>
      <w:r w:rsidRPr="003E49CC">
        <w:rPr>
          <w:rFonts w:ascii="Times New Roman" w:hAnsi="Times New Roman" w:cs="Times New Roman"/>
          <w:b w:val="0"/>
          <w:sz w:val="28"/>
          <w:szCs w:val="28"/>
        </w:rPr>
        <w:t xml:space="preserve"> части 1 статьи 8 Положения о Контрольно-счетной палате Нефтекумского </w:t>
      </w:r>
      <w:r w:rsidR="001452B9" w:rsidRPr="003E49CC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53CC2" w:rsidRPr="003E49CC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Pr="003E49CC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(далее </w:t>
      </w:r>
      <w:r w:rsidR="00496607" w:rsidRPr="003E49CC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3E49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6607" w:rsidRPr="003E49CC">
        <w:rPr>
          <w:rFonts w:ascii="Times New Roman" w:hAnsi="Times New Roman" w:cs="Times New Roman"/>
          <w:b w:val="0"/>
          <w:sz w:val="28"/>
          <w:szCs w:val="28"/>
        </w:rPr>
        <w:t>Контрольно-счетная палата</w:t>
      </w:r>
      <w:r w:rsidRPr="003E49CC">
        <w:rPr>
          <w:rFonts w:ascii="Times New Roman" w:hAnsi="Times New Roman" w:cs="Times New Roman"/>
          <w:b w:val="0"/>
          <w:sz w:val="28"/>
          <w:szCs w:val="28"/>
        </w:rPr>
        <w:t xml:space="preserve">) проведена экспертиза проекта решения </w:t>
      </w:r>
      <w:r w:rsidR="00A53CC2" w:rsidRPr="003E49CC">
        <w:rPr>
          <w:rFonts w:ascii="Times New Roman" w:hAnsi="Times New Roman" w:cs="Times New Roman"/>
          <w:b w:val="0"/>
          <w:sz w:val="28"/>
          <w:szCs w:val="28"/>
        </w:rPr>
        <w:t>Думы</w:t>
      </w:r>
      <w:r w:rsidRPr="003E49CC">
        <w:rPr>
          <w:rFonts w:ascii="Times New Roman" w:hAnsi="Times New Roman" w:cs="Times New Roman"/>
          <w:b w:val="0"/>
          <w:sz w:val="28"/>
          <w:szCs w:val="28"/>
        </w:rPr>
        <w:t xml:space="preserve"> Нефтекумского </w:t>
      </w:r>
      <w:r w:rsidR="001452B9" w:rsidRPr="003E49CC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53CC2" w:rsidRPr="003E49CC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r w:rsidRPr="003E49C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246EBE">
        <w:rPr>
          <w:rFonts w:ascii="Times New Roman" w:hAnsi="Times New Roman" w:cs="Times New Roman"/>
          <w:b w:val="0"/>
          <w:sz w:val="28"/>
          <w:szCs w:val="28"/>
        </w:rPr>
        <w:t>Об установлении доли дотации на выравнивание бюджетной обеспеченности, подлежащей замене на дополнительный норматив отчислений от налога на доходы физических лиц</w:t>
      </w:r>
      <w:r w:rsidR="003E49CC" w:rsidRPr="003E49CC">
        <w:rPr>
          <w:rFonts w:ascii="Times New Roman" w:hAnsi="Times New Roman" w:cs="Times New Roman"/>
          <w:b w:val="0"/>
          <w:sz w:val="28"/>
          <w:szCs w:val="28"/>
        </w:rPr>
        <w:t>»</w:t>
      </w:r>
      <w:r w:rsidR="00441CF1" w:rsidRPr="003E49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7ACF" w:rsidRPr="003E49CC">
        <w:rPr>
          <w:rFonts w:ascii="Times New Roman" w:hAnsi="Times New Roman" w:cs="Times New Roman"/>
          <w:b w:val="0"/>
          <w:sz w:val="28"/>
          <w:szCs w:val="28"/>
        </w:rPr>
        <w:t>(далее – проект решения</w:t>
      </w:r>
      <w:r w:rsidR="00A53CC2" w:rsidRPr="003E49CC">
        <w:rPr>
          <w:rFonts w:ascii="Times New Roman" w:hAnsi="Times New Roman" w:cs="Times New Roman"/>
          <w:b w:val="0"/>
          <w:sz w:val="28"/>
          <w:szCs w:val="28"/>
        </w:rPr>
        <w:t>)</w:t>
      </w:r>
      <w:r w:rsidR="000F2E1E" w:rsidRPr="003E49CC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246EBE" w:rsidRPr="00C37A79" w:rsidRDefault="00246EBE" w:rsidP="00246EB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Проект решения </w:t>
      </w:r>
      <w:r w:rsidRPr="00C37A79">
        <w:rPr>
          <w:rFonts w:ascii="Times New Roman" w:hAnsi="Times New Roman" w:cs="Times New Roman"/>
          <w:bCs/>
          <w:sz w:val="28"/>
          <w:szCs w:val="28"/>
        </w:rPr>
        <w:t>подготовлен в</w:t>
      </w:r>
      <w:r w:rsidRPr="00C37A79">
        <w:rPr>
          <w:rFonts w:ascii="Times New Roman" w:hAnsi="Times New Roman" w:cs="Times New Roman"/>
          <w:sz w:val="28"/>
          <w:szCs w:val="28"/>
        </w:rPr>
        <w:t xml:space="preserve"> соответствии со ст. 138 Бюджетного кодекса Российской Федерации, статьей 9 Закона Ставропольского края от 27 февраля 2008 года № 6-кз «О межбюджетных отношениях в Ставропольском крае»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7A79">
        <w:rPr>
          <w:rFonts w:ascii="Times New Roman" w:hAnsi="Times New Roman" w:cs="Times New Roman"/>
          <w:sz w:val="28"/>
          <w:szCs w:val="28"/>
        </w:rPr>
        <w:t xml:space="preserve"> статьей 5 Положения о бюджетном процессе в Нефтекумском муниципальном округе Ставропольского края, утвержденного решением Думы Нефтекумского муниципального округа Ставропольского края от 26 сентября 2023 г. № 140 </w:t>
      </w:r>
      <w:r w:rsidRPr="00C37A79">
        <w:rPr>
          <w:rFonts w:ascii="Times New Roman" w:hAnsi="Times New Roman"/>
          <w:sz w:val="28"/>
          <w:szCs w:val="28"/>
        </w:rPr>
        <w:t>в целях увеличения в 202</w:t>
      </w:r>
      <w:r>
        <w:rPr>
          <w:rFonts w:ascii="Times New Roman" w:hAnsi="Times New Roman"/>
          <w:sz w:val="28"/>
          <w:szCs w:val="28"/>
        </w:rPr>
        <w:t>5</w:t>
      </w:r>
      <w:r w:rsidRPr="00C37A79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7</w:t>
      </w:r>
      <w:proofErr w:type="gramEnd"/>
      <w:r w:rsidRPr="00C37A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7A79">
        <w:rPr>
          <w:rFonts w:ascii="Times New Roman" w:hAnsi="Times New Roman"/>
          <w:sz w:val="28"/>
          <w:szCs w:val="28"/>
        </w:rPr>
        <w:t>годах</w:t>
      </w:r>
      <w:proofErr w:type="gramEnd"/>
      <w:r w:rsidRPr="00C37A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7A79">
        <w:rPr>
          <w:rFonts w:ascii="Times New Roman" w:hAnsi="Times New Roman"/>
          <w:sz w:val="28"/>
          <w:szCs w:val="28"/>
        </w:rPr>
        <w:t>доли</w:t>
      </w:r>
      <w:proofErr w:type="gramEnd"/>
      <w:r w:rsidRPr="00C37A79">
        <w:rPr>
          <w:rFonts w:ascii="Times New Roman" w:hAnsi="Times New Roman"/>
          <w:sz w:val="28"/>
          <w:szCs w:val="28"/>
        </w:rPr>
        <w:t xml:space="preserve"> налоговых и неналоговых доходов в общем объеме доходов бюджета Нефтекумского муниципального округа Ставропольского края (далее – местный бюджет) и увеличения объема поступлений налоговых доходов.</w:t>
      </w:r>
    </w:p>
    <w:p w:rsidR="00246EBE" w:rsidRPr="00637FE0" w:rsidRDefault="00246EBE" w:rsidP="00246EB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9712C4">
        <w:rPr>
          <w:rFonts w:ascii="Times New Roman" w:hAnsi="Times New Roman"/>
          <w:sz w:val="28"/>
          <w:szCs w:val="28"/>
        </w:rPr>
        <w:t>За 9 месяцев 2024 г. отмечается положительная динамика поступления налога на доходы физических лиц (далее</w:t>
      </w:r>
      <w:r w:rsidRPr="009712C4">
        <w:rPr>
          <w:rFonts w:ascii="Times New Roman" w:hAnsi="Times New Roman"/>
          <w:bCs/>
          <w:sz w:val="28"/>
          <w:szCs w:val="28"/>
        </w:rPr>
        <w:t xml:space="preserve">– </w:t>
      </w:r>
      <w:proofErr w:type="gramStart"/>
      <w:r w:rsidRPr="009712C4">
        <w:rPr>
          <w:rFonts w:ascii="Times New Roman" w:hAnsi="Times New Roman"/>
          <w:sz w:val="28"/>
          <w:szCs w:val="28"/>
        </w:rPr>
        <w:t>НД</w:t>
      </w:r>
      <w:proofErr w:type="gramEnd"/>
      <w:r w:rsidRPr="009712C4">
        <w:rPr>
          <w:rFonts w:ascii="Times New Roman" w:hAnsi="Times New Roman"/>
          <w:sz w:val="28"/>
          <w:szCs w:val="28"/>
        </w:rPr>
        <w:t xml:space="preserve">ФЛ), рост поступлений по сравнению с аналогичным периодом 2023 года составил 131,03 процента. На увеличение поступлений </w:t>
      </w:r>
      <w:proofErr w:type="gramStart"/>
      <w:r w:rsidRPr="009712C4">
        <w:rPr>
          <w:rFonts w:ascii="Times New Roman" w:hAnsi="Times New Roman"/>
          <w:sz w:val="28"/>
          <w:szCs w:val="28"/>
        </w:rPr>
        <w:t>повлияло</w:t>
      </w:r>
      <w:proofErr w:type="gramEnd"/>
      <w:r w:rsidRPr="009712C4">
        <w:rPr>
          <w:rFonts w:ascii="Times New Roman" w:hAnsi="Times New Roman"/>
          <w:sz w:val="28"/>
          <w:szCs w:val="28"/>
        </w:rPr>
        <w:t xml:space="preserve"> в том числе и </w:t>
      </w:r>
      <w:r>
        <w:rPr>
          <w:rFonts w:ascii="Times New Roman" w:hAnsi="Times New Roman"/>
          <w:sz w:val="28"/>
          <w:szCs w:val="28"/>
        </w:rPr>
        <w:t xml:space="preserve">поступления НДФЛ от установленной на 2024 год замены доли </w:t>
      </w:r>
      <w:r w:rsidRPr="009712C4">
        <w:rPr>
          <w:rFonts w:ascii="Times New Roman" w:hAnsi="Times New Roman"/>
          <w:sz w:val="28"/>
          <w:szCs w:val="28"/>
        </w:rPr>
        <w:t xml:space="preserve">дотации на выравнивание бюджетной обеспеченности, причитающейся </w:t>
      </w:r>
      <w:proofErr w:type="spellStart"/>
      <w:r w:rsidRPr="009712C4">
        <w:rPr>
          <w:rFonts w:ascii="Times New Roman" w:hAnsi="Times New Roman"/>
          <w:sz w:val="28"/>
          <w:szCs w:val="28"/>
        </w:rPr>
        <w:t>Нефтекумскому</w:t>
      </w:r>
      <w:proofErr w:type="spellEnd"/>
      <w:r w:rsidRPr="009712C4">
        <w:rPr>
          <w:rFonts w:ascii="Times New Roman" w:hAnsi="Times New Roman"/>
          <w:sz w:val="28"/>
          <w:szCs w:val="28"/>
        </w:rPr>
        <w:t xml:space="preserve"> муниципальному округу Ставропольского края из </w:t>
      </w:r>
      <w:r w:rsidRPr="00637FE0">
        <w:rPr>
          <w:rFonts w:ascii="Times New Roman" w:hAnsi="Times New Roman"/>
          <w:sz w:val="28"/>
          <w:szCs w:val="28"/>
        </w:rPr>
        <w:t>бюджета Ставропольского края на дополнительный норматив в размере 10 процентов. Дополнительные поступления НДФЛ от установленной доли дотации на выравнивание бюджетной обеспеченности составили 12 638,69 тыс. рублей.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7FE0">
        <w:rPr>
          <w:rFonts w:ascii="Times New Roman" w:hAnsi="Times New Roman"/>
          <w:sz w:val="28"/>
          <w:szCs w:val="28"/>
        </w:rPr>
        <w:t>Дополнительные поступления НДФЛ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7FE0">
        <w:rPr>
          <w:rFonts w:ascii="Times New Roman" w:hAnsi="Times New Roman"/>
          <w:sz w:val="28"/>
          <w:szCs w:val="28"/>
        </w:rPr>
        <w:t>в результате замены доли дотации на выравнивание бюджетной обеспеченности в 2024 году прогнозируются в сумме 18 300,00 тыс. рублей.</w:t>
      </w:r>
    </w:p>
    <w:p w:rsidR="00246EBE" w:rsidRPr="009712C4" w:rsidRDefault="00246EBE" w:rsidP="00246EB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7FE0">
        <w:rPr>
          <w:rFonts w:ascii="Times New Roman" w:hAnsi="Times New Roman"/>
          <w:sz w:val="28"/>
          <w:szCs w:val="28"/>
        </w:rPr>
        <w:lastRenderedPageBreak/>
        <w:t>Положительная динамика роста поступлений НДФЛ в 2024 году, в том числе и от установленной доли дотации на выравнивание бюджетной</w:t>
      </w:r>
      <w:r w:rsidRPr="009712C4">
        <w:rPr>
          <w:rFonts w:ascii="Times New Roman" w:hAnsi="Times New Roman"/>
          <w:sz w:val="28"/>
          <w:szCs w:val="28"/>
        </w:rPr>
        <w:t xml:space="preserve"> обеспеченности позволяет сделать предположение о возможности получения дополнительного объема поступлений НДФЛ в 2025-2027 годах в случае установления доли дотации на выравнивание бюджетной обеспеченности, подлежащей замене на дополнительный норматив отчислений от НДФЛ.</w:t>
      </w:r>
      <w:proofErr w:type="gramEnd"/>
    </w:p>
    <w:p w:rsidR="00246EBE" w:rsidRPr="009712C4" w:rsidRDefault="00246EBE" w:rsidP="00246EB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12C4">
        <w:rPr>
          <w:rFonts w:ascii="Times New Roman" w:hAnsi="Times New Roman"/>
          <w:sz w:val="28"/>
          <w:szCs w:val="28"/>
        </w:rPr>
        <w:t xml:space="preserve">Анализ поступлений НДФЛ в 2024 году с учетом прогноза поступлений НДФЛ главного администратора доходов бюджета – УФНС по СК показал, что при условии поступления НДФЛ в 2025 году на уровне ожидаемых поступлений 2024 года с учетом прогнозируемого темпа роста фонда начисленной заработной платы на 2025 год размере </w:t>
      </w:r>
      <w:r>
        <w:rPr>
          <w:rFonts w:ascii="Times New Roman" w:hAnsi="Times New Roman"/>
          <w:sz w:val="28"/>
          <w:szCs w:val="28"/>
        </w:rPr>
        <w:t>106,7</w:t>
      </w:r>
      <w:r w:rsidRPr="009712C4">
        <w:rPr>
          <w:rFonts w:ascii="Times New Roman" w:hAnsi="Times New Roman"/>
          <w:sz w:val="28"/>
          <w:szCs w:val="28"/>
        </w:rPr>
        <w:t xml:space="preserve"> процента, замена доли дотации на выравнивание бюджетной обеспеченности на дополнительный норматив </w:t>
      </w:r>
      <w:r w:rsidRPr="009712C4">
        <w:rPr>
          <w:rFonts w:ascii="Times New Roman" w:hAnsi="Times New Roman"/>
          <w:bCs/>
          <w:sz w:val="28"/>
          <w:szCs w:val="28"/>
        </w:rPr>
        <w:t>отчислений от</w:t>
      </w:r>
      <w:proofErr w:type="gramEnd"/>
      <w:r w:rsidRPr="009712C4">
        <w:rPr>
          <w:rFonts w:ascii="Times New Roman" w:hAnsi="Times New Roman"/>
          <w:bCs/>
          <w:sz w:val="28"/>
          <w:szCs w:val="28"/>
        </w:rPr>
        <w:t xml:space="preserve"> налога на доходы физических лиц может быть </w:t>
      </w:r>
      <w:proofErr w:type="gramStart"/>
      <w:r w:rsidRPr="009712C4">
        <w:rPr>
          <w:rFonts w:ascii="Times New Roman" w:hAnsi="Times New Roman"/>
          <w:bCs/>
          <w:sz w:val="28"/>
          <w:szCs w:val="28"/>
        </w:rPr>
        <w:t>оправдана</w:t>
      </w:r>
      <w:proofErr w:type="gramEnd"/>
      <w:r w:rsidRPr="009712C4">
        <w:rPr>
          <w:rFonts w:ascii="Times New Roman" w:hAnsi="Times New Roman"/>
          <w:bCs/>
          <w:sz w:val="28"/>
          <w:szCs w:val="28"/>
        </w:rPr>
        <w:t xml:space="preserve">. </w:t>
      </w:r>
    </w:p>
    <w:tbl>
      <w:tblPr>
        <w:tblStyle w:val="ad"/>
        <w:tblW w:w="9776" w:type="dxa"/>
        <w:tblLook w:val="04A0"/>
      </w:tblPr>
      <w:tblGrid>
        <w:gridCol w:w="5098"/>
        <w:gridCol w:w="1560"/>
        <w:gridCol w:w="1559"/>
        <w:gridCol w:w="1559"/>
      </w:tblGrid>
      <w:tr w:rsidR="00246EBE" w:rsidRPr="009712C4" w:rsidTr="00DD2708">
        <w:trPr>
          <w:trHeight w:val="110"/>
        </w:trPr>
        <w:tc>
          <w:tcPr>
            <w:tcW w:w="5098" w:type="dxa"/>
          </w:tcPr>
          <w:p w:rsidR="00246EBE" w:rsidRPr="009712C4" w:rsidRDefault="00246EBE" w:rsidP="00DD27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2C4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560" w:type="dxa"/>
          </w:tcPr>
          <w:p w:rsidR="00246EBE" w:rsidRPr="009712C4" w:rsidRDefault="00246EBE" w:rsidP="00DD27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2C4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559" w:type="dxa"/>
          </w:tcPr>
          <w:p w:rsidR="00246EBE" w:rsidRPr="009712C4" w:rsidRDefault="00246EBE" w:rsidP="00DD27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2C4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  <w:tc>
          <w:tcPr>
            <w:tcW w:w="1559" w:type="dxa"/>
          </w:tcPr>
          <w:p w:rsidR="00246EBE" w:rsidRPr="009712C4" w:rsidRDefault="00246EBE" w:rsidP="00DD270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2C4">
              <w:rPr>
                <w:rFonts w:ascii="Times New Roman" w:hAnsi="Times New Roman"/>
                <w:sz w:val="28"/>
                <w:szCs w:val="28"/>
              </w:rPr>
              <w:t>2027 год</w:t>
            </w:r>
          </w:p>
        </w:tc>
      </w:tr>
      <w:tr w:rsidR="00246EBE" w:rsidRPr="009712C4" w:rsidTr="00DD2708">
        <w:tc>
          <w:tcPr>
            <w:tcW w:w="5098" w:type="dxa"/>
          </w:tcPr>
          <w:p w:rsidR="00246EBE" w:rsidRPr="009712C4" w:rsidRDefault="00246EBE" w:rsidP="00DD2708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2C4">
              <w:rPr>
                <w:rFonts w:ascii="Times New Roman" w:hAnsi="Times New Roman"/>
                <w:sz w:val="28"/>
                <w:szCs w:val="28"/>
              </w:rPr>
              <w:t xml:space="preserve">Размер дотации </w:t>
            </w:r>
            <w:r w:rsidRPr="009712C4">
              <w:rPr>
                <w:rFonts w:ascii="Times New Roman" w:hAnsi="Times New Roman"/>
                <w:bCs/>
                <w:sz w:val="28"/>
                <w:szCs w:val="28"/>
              </w:rPr>
              <w:t>(тыс. рублей)</w:t>
            </w:r>
          </w:p>
        </w:tc>
        <w:tc>
          <w:tcPr>
            <w:tcW w:w="1560" w:type="dxa"/>
          </w:tcPr>
          <w:p w:rsidR="00246EBE" w:rsidRPr="009712C4" w:rsidRDefault="00246EBE" w:rsidP="00DD2708">
            <w:pPr>
              <w:pStyle w:val="ab"/>
              <w:ind w:left="-10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12C4">
              <w:rPr>
                <w:rFonts w:ascii="Times New Roman" w:hAnsi="Times New Roman"/>
                <w:sz w:val="28"/>
                <w:szCs w:val="28"/>
              </w:rPr>
              <w:t>626911,00</w:t>
            </w:r>
          </w:p>
        </w:tc>
        <w:tc>
          <w:tcPr>
            <w:tcW w:w="1559" w:type="dxa"/>
          </w:tcPr>
          <w:p w:rsidR="00246EBE" w:rsidRPr="009712C4" w:rsidRDefault="00246EBE" w:rsidP="00DD2708">
            <w:pPr>
              <w:pStyle w:val="ab"/>
              <w:ind w:left="-10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12C4">
              <w:rPr>
                <w:rFonts w:ascii="Times New Roman" w:hAnsi="Times New Roman"/>
                <w:sz w:val="28"/>
                <w:szCs w:val="28"/>
              </w:rPr>
              <w:t>513 658,00</w:t>
            </w:r>
          </w:p>
        </w:tc>
        <w:tc>
          <w:tcPr>
            <w:tcW w:w="1559" w:type="dxa"/>
          </w:tcPr>
          <w:p w:rsidR="00246EBE" w:rsidRPr="009712C4" w:rsidRDefault="00246EBE" w:rsidP="00DD2708">
            <w:pPr>
              <w:pStyle w:val="ab"/>
              <w:ind w:left="-10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12C4">
              <w:rPr>
                <w:rFonts w:ascii="Times New Roman" w:hAnsi="Times New Roman"/>
                <w:sz w:val="28"/>
                <w:szCs w:val="28"/>
              </w:rPr>
              <w:t>500 397,00</w:t>
            </w:r>
          </w:p>
        </w:tc>
      </w:tr>
      <w:tr w:rsidR="00246EBE" w:rsidRPr="009712C4" w:rsidTr="00DD2708">
        <w:tc>
          <w:tcPr>
            <w:tcW w:w="5098" w:type="dxa"/>
          </w:tcPr>
          <w:p w:rsidR="00246EBE" w:rsidRPr="009712C4" w:rsidRDefault="00246EBE" w:rsidP="00DD2708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2C4">
              <w:rPr>
                <w:rFonts w:ascii="Times New Roman" w:hAnsi="Times New Roman"/>
                <w:bCs/>
                <w:sz w:val="28"/>
                <w:szCs w:val="28"/>
              </w:rPr>
              <w:t>Доля дотации, подлежащая замене на дополнительный норматив отчислений от НДФЛ</w:t>
            </w:r>
            <w:proofErr w:type="gramStart"/>
            <w:r w:rsidRPr="009712C4">
              <w:rPr>
                <w:rFonts w:ascii="Times New Roman" w:hAnsi="Times New Roman"/>
                <w:bCs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560" w:type="dxa"/>
          </w:tcPr>
          <w:p w:rsidR="00246EBE" w:rsidRPr="009712C4" w:rsidRDefault="00246EBE" w:rsidP="00DD2708">
            <w:pPr>
              <w:pStyle w:val="ab"/>
              <w:ind w:left="-10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12C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246EBE" w:rsidRPr="009712C4" w:rsidRDefault="00246EBE" w:rsidP="00DD2708">
            <w:pPr>
              <w:pStyle w:val="ab"/>
              <w:ind w:left="-10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12C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246EBE" w:rsidRPr="009712C4" w:rsidRDefault="00246EBE" w:rsidP="00DD2708">
            <w:pPr>
              <w:pStyle w:val="ab"/>
              <w:ind w:left="-10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12C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46EBE" w:rsidRPr="009712C4" w:rsidTr="00DD2708">
        <w:tc>
          <w:tcPr>
            <w:tcW w:w="5098" w:type="dxa"/>
          </w:tcPr>
          <w:p w:rsidR="00246EBE" w:rsidRPr="009712C4" w:rsidRDefault="00246EBE" w:rsidP="00DD2708">
            <w:pPr>
              <w:pStyle w:val="ab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2C4">
              <w:rPr>
                <w:rFonts w:ascii="Times New Roman" w:hAnsi="Times New Roman"/>
                <w:bCs/>
                <w:sz w:val="28"/>
                <w:szCs w:val="28"/>
              </w:rPr>
              <w:t>Доля дотации, подлежащая замене на дополнительный норматив отчислений от НДФЛ (тыс. рублей)</w:t>
            </w:r>
          </w:p>
        </w:tc>
        <w:tc>
          <w:tcPr>
            <w:tcW w:w="1560" w:type="dxa"/>
          </w:tcPr>
          <w:p w:rsidR="00246EBE" w:rsidRPr="009712C4" w:rsidRDefault="00246EBE" w:rsidP="00DD2708">
            <w:pPr>
              <w:pStyle w:val="ab"/>
              <w:ind w:left="-10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12C4">
              <w:rPr>
                <w:rFonts w:ascii="Times New Roman" w:hAnsi="Times New Roman"/>
                <w:sz w:val="28"/>
                <w:szCs w:val="28"/>
              </w:rPr>
              <w:t>94 036,65</w:t>
            </w:r>
          </w:p>
        </w:tc>
        <w:tc>
          <w:tcPr>
            <w:tcW w:w="1559" w:type="dxa"/>
          </w:tcPr>
          <w:p w:rsidR="00246EBE" w:rsidRPr="009712C4" w:rsidRDefault="00246EBE" w:rsidP="00DD2708">
            <w:pPr>
              <w:pStyle w:val="ab"/>
              <w:ind w:left="-10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12C4">
              <w:rPr>
                <w:rFonts w:ascii="Times New Roman" w:hAnsi="Times New Roman"/>
                <w:sz w:val="28"/>
                <w:szCs w:val="28"/>
              </w:rPr>
              <w:t>25 682,90</w:t>
            </w:r>
          </w:p>
        </w:tc>
        <w:tc>
          <w:tcPr>
            <w:tcW w:w="1559" w:type="dxa"/>
          </w:tcPr>
          <w:p w:rsidR="00246EBE" w:rsidRPr="009712C4" w:rsidRDefault="00246EBE" w:rsidP="00DD2708">
            <w:pPr>
              <w:pStyle w:val="ab"/>
              <w:ind w:left="-10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12C4">
              <w:rPr>
                <w:rFonts w:ascii="Times New Roman" w:hAnsi="Times New Roman"/>
                <w:sz w:val="28"/>
                <w:szCs w:val="28"/>
              </w:rPr>
              <w:t>25 019,85</w:t>
            </w:r>
          </w:p>
        </w:tc>
      </w:tr>
      <w:tr w:rsidR="00246EBE" w:rsidRPr="009712C4" w:rsidTr="00DD2708">
        <w:trPr>
          <w:trHeight w:val="70"/>
        </w:trPr>
        <w:tc>
          <w:tcPr>
            <w:tcW w:w="5098" w:type="dxa"/>
          </w:tcPr>
          <w:p w:rsidR="00246EBE" w:rsidRPr="009712C4" w:rsidRDefault="00246EBE" w:rsidP="00DD2708">
            <w:pPr>
              <w:pStyle w:val="ab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Прогнозируемые д</w:t>
            </w:r>
            <w:r w:rsidRPr="009712C4">
              <w:rPr>
                <w:rFonts w:ascii="Times New Roman" w:hAnsi="Times New Roman"/>
                <w:bCs/>
                <w:sz w:val="28"/>
                <w:szCs w:val="28"/>
              </w:rPr>
              <w:t>ополнительные поступления в результате принятия решения (тыс. рублей)</w:t>
            </w:r>
          </w:p>
        </w:tc>
        <w:tc>
          <w:tcPr>
            <w:tcW w:w="1560" w:type="dxa"/>
          </w:tcPr>
          <w:p w:rsidR="00246EBE" w:rsidRPr="009712C4" w:rsidRDefault="00246EBE" w:rsidP="00DD2708">
            <w:pPr>
              <w:pStyle w:val="ab"/>
              <w:ind w:left="-10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12C4">
              <w:rPr>
                <w:rFonts w:ascii="Times New Roman" w:hAnsi="Times New Roman"/>
                <w:sz w:val="28"/>
                <w:szCs w:val="28"/>
              </w:rPr>
              <w:t>4 254,83</w:t>
            </w:r>
          </w:p>
        </w:tc>
        <w:tc>
          <w:tcPr>
            <w:tcW w:w="1559" w:type="dxa"/>
          </w:tcPr>
          <w:p w:rsidR="00246EBE" w:rsidRPr="009712C4" w:rsidRDefault="00246EBE" w:rsidP="00DD2708">
            <w:pPr>
              <w:pStyle w:val="ab"/>
              <w:ind w:left="-10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12C4">
              <w:rPr>
                <w:rFonts w:ascii="Times New Roman" w:hAnsi="Times New Roman"/>
                <w:sz w:val="28"/>
                <w:szCs w:val="28"/>
              </w:rPr>
              <w:t>1 150,71</w:t>
            </w:r>
          </w:p>
        </w:tc>
        <w:tc>
          <w:tcPr>
            <w:tcW w:w="1559" w:type="dxa"/>
          </w:tcPr>
          <w:p w:rsidR="00246EBE" w:rsidRPr="009712C4" w:rsidRDefault="00246EBE" w:rsidP="00DD2708">
            <w:pPr>
              <w:pStyle w:val="ab"/>
              <w:ind w:left="-10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12C4">
              <w:rPr>
                <w:rFonts w:ascii="Times New Roman" w:hAnsi="Times New Roman"/>
                <w:sz w:val="28"/>
                <w:szCs w:val="28"/>
              </w:rPr>
              <w:t>1 094,93</w:t>
            </w:r>
          </w:p>
        </w:tc>
      </w:tr>
    </w:tbl>
    <w:p w:rsidR="00246EBE" w:rsidRPr="00246EBE" w:rsidRDefault="00246EBE" w:rsidP="00246EB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9712C4">
        <w:rPr>
          <w:rFonts w:ascii="Times New Roman" w:hAnsi="Times New Roman"/>
          <w:sz w:val="28"/>
          <w:szCs w:val="28"/>
        </w:rPr>
        <w:t xml:space="preserve">Принятие проекта решения не повлечет необходимость принятия, </w:t>
      </w:r>
      <w:r w:rsidRPr="00246EBE">
        <w:rPr>
          <w:rFonts w:ascii="Times New Roman" w:hAnsi="Times New Roman"/>
          <w:sz w:val="28"/>
          <w:szCs w:val="28"/>
        </w:rPr>
        <w:t xml:space="preserve">отмены, изменения либо признания </w:t>
      </w:r>
      <w:proofErr w:type="gramStart"/>
      <w:r w:rsidRPr="00246EBE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246EBE">
        <w:rPr>
          <w:rFonts w:ascii="Times New Roman" w:hAnsi="Times New Roman"/>
          <w:sz w:val="28"/>
          <w:szCs w:val="28"/>
        </w:rPr>
        <w:t xml:space="preserve"> силу других правовых актов.</w:t>
      </w:r>
    </w:p>
    <w:p w:rsidR="00246EBE" w:rsidRPr="00246EBE" w:rsidRDefault="00246EBE" w:rsidP="00246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EBE">
        <w:rPr>
          <w:rFonts w:ascii="Times New Roman" w:hAnsi="Times New Roman" w:cs="Times New Roman"/>
          <w:sz w:val="28"/>
          <w:szCs w:val="28"/>
        </w:rPr>
        <w:t>Положения проекта решения соответствуют Конституции Российской Федерации, федеральным законам, нормативным правовым актам Нефтекумского муниципального округа Ставропольского края, требованиям антимонопольного законодательства.</w:t>
      </w:r>
    </w:p>
    <w:p w:rsidR="001F6299" w:rsidRPr="003E49CC" w:rsidRDefault="00997F76" w:rsidP="00246EB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49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4391" w:rsidRPr="003E49C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933D5" w:rsidRPr="003E49CC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1F6299" w:rsidRPr="003E49CC">
        <w:rPr>
          <w:rFonts w:ascii="Times New Roman" w:hAnsi="Times New Roman" w:cs="Times New Roman"/>
          <w:b w:val="0"/>
          <w:sz w:val="28"/>
          <w:szCs w:val="28"/>
        </w:rPr>
        <w:t>Контрольно-счетная палата рекомендует проект решения</w:t>
      </w:r>
      <w:r w:rsidR="004C6E55" w:rsidRPr="003E49CC">
        <w:rPr>
          <w:rFonts w:ascii="Times New Roman" w:hAnsi="Times New Roman" w:cs="Times New Roman"/>
          <w:b w:val="0"/>
          <w:sz w:val="28"/>
          <w:szCs w:val="28"/>
        </w:rPr>
        <w:t xml:space="preserve"> Думы Нефтекумского </w:t>
      </w:r>
      <w:r w:rsidR="001452B9" w:rsidRPr="003E49CC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4C6E55" w:rsidRPr="003E49CC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</w:t>
      </w:r>
      <w:r w:rsidR="001F6299" w:rsidRPr="003E49CC">
        <w:rPr>
          <w:rFonts w:ascii="Times New Roman" w:hAnsi="Times New Roman" w:cs="Times New Roman"/>
          <w:b w:val="0"/>
          <w:sz w:val="28"/>
          <w:szCs w:val="28"/>
        </w:rPr>
        <w:t>«</w:t>
      </w:r>
      <w:r w:rsidR="00246EBE">
        <w:rPr>
          <w:rFonts w:ascii="Times New Roman" w:hAnsi="Times New Roman" w:cs="Times New Roman"/>
          <w:b w:val="0"/>
          <w:sz w:val="28"/>
          <w:szCs w:val="28"/>
        </w:rPr>
        <w:t>Об установлении доли дотации на выравнивание бюджетной обеспеченности, подлежащей замене на дополнительный норматив отчислений от налога на доходы физических лиц</w:t>
      </w:r>
      <w:r w:rsidR="003E49CC" w:rsidRPr="003E49CC">
        <w:rPr>
          <w:rFonts w:ascii="Times New Roman" w:hAnsi="Times New Roman" w:cs="Times New Roman"/>
          <w:b w:val="0"/>
          <w:sz w:val="28"/>
          <w:szCs w:val="28"/>
        </w:rPr>
        <w:t>»</w:t>
      </w:r>
      <w:r w:rsidR="000445B2" w:rsidRPr="003E49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6299" w:rsidRPr="003E49CC">
        <w:rPr>
          <w:rFonts w:ascii="Times New Roman" w:hAnsi="Times New Roman" w:cs="Times New Roman"/>
          <w:b w:val="0"/>
          <w:sz w:val="28"/>
          <w:szCs w:val="28"/>
        </w:rPr>
        <w:t xml:space="preserve">к рассмотрению на заседании Думы Нефтекумского </w:t>
      </w:r>
      <w:r w:rsidR="001452B9" w:rsidRPr="003E49CC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1F6299" w:rsidRPr="003E49CC">
        <w:rPr>
          <w:rFonts w:ascii="Times New Roman" w:hAnsi="Times New Roman" w:cs="Times New Roman"/>
          <w:b w:val="0"/>
          <w:sz w:val="28"/>
          <w:szCs w:val="28"/>
        </w:rPr>
        <w:t xml:space="preserve"> округа С</w:t>
      </w:r>
      <w:r w:rsidR="00C065AB" w:rsidRPr="003E49CC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  <w:r w:rsidR="001F6299" w:rsidRPr="003E49C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445B2" w:rsidRPr="003E49CC" w:rsidRDefault="000445B2" w:rsidP="003E4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5B2" w:rsidRPr="000445B2" w:rsidRDefault="000445B2" w:rsidP="003E4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0E2" w:rsidRPr="000445B2" w:rsidRDefault="006500E2" w:rsidP="0004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D322A9" w:rsidRDefault="00412C56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sz w:val="28"/>
          <w:szCs w:val="28"/>
        </w:rPr>
        <w:t>П</w:t>
      </w:r>
      <w:r w:rsidR="00322AE0" w:rsidRPr="00D322A9">
        <w:rPr>
          <w:rFonts w:ascii="Times New Roman" w:hAnsi="Times New Roman" w:cs="Times New Roman"/>
          <w:sz w:val="28"/>
          <w:szCs w:val="28"/>
        </w:rPr>
        <w:t xml:space="preserve">редседатель КСП                                                                    Г.В. </w:t>
      </w:r>
      <w:proofErr w:type="spellStart"/>
      <w:r w:rsidR="00322AE0" w:rsidRPr="00D322A9">
        <w:rPr>
          <w:rFonts w:ascii="Times New Roman" w:hAnsi="Times New Roman" w:cs="Times New Roman"/>
          <w:sz w:val="28"/>
          <w:szCs w:val="28"/>
        </w:rPr>
        <w:t>Хусейнова</w:t>
      </w:r>
      <w:proofErr w:type="spellEnd"/>
    </w:p>
    <w:p w:rsidR="00322AE0" w:rsidRPr="00D322A9" w:rsidRDefault="00322AE0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D322A9" w:rsidRDefault="00322AE0" w:rsidP="00D32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7CD" w:rsidRPr="00D322A9" w:rsidRDefault="008867CD" w:rsidP="00D32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867CD" w:rsidRPr="00D322A9" w:rsidSect="0005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E97"/>
    <w:multiLevelType w:val="hybridMultilevel"/>
    <w:tmpl w:val="98769542"/>
    <w:lvl w:ilvl="0" w:tplc="F5263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A70FB"/>
    <w:multiLevelType w:val="hybridMultilevel"/>
    <w:tmpl w:val="0C5EB9A6"/>
    <w:lvl w:ilvl="0" w:tplc="BFE8A6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30559D"/>
    <w:multiLevelType w:val="hybridMultilevel"/>
    <w:tmpl w:val="55589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3658FB"/>
    <w:multiLevelType w:val="hybridMultilevel"/>
    <w:tmpl w:val="83CC9086"/>
    <w:lvl w:ilvl="0" w:tplc="9D8A3C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4FC"/>
    <w:rsid w:val="000102FB"/>
    <w:rsid w:val="0002261D"/>
    <w:rsid w:val="000255E9"/>
    <w:rsid w:val="000445B2"/>
    <w:rsid w:val="00051B37"/>
    <w:rsid w:val="00054D24"/>
    <w:rsid w:val="00085E08"/>
    <w:rsid w:val="000974FC"/>
    <w:rsid w:val="000A3AB0"/>
    <w:rsid w:val="000C76C1"/>
    <w:rsid w:val="000D689A"/>
    <w:rsid w:val="000F21FB"/>
    <w:rsid w:val="000F2E1E"/>
    <w:rsid w:val="00101F09"/>
    <w:rsid w:val="0012108B"/>
    <w:rsid w:val="001302B4"/>
    <w:rsid w:val="00137A09"/>
    <w:rsid w:val="001452B9"/>
    <w:rsid w:val="001558AD"/>
    <w:rsid w:val="00160E4F"/>
    <w:rsid w:val="00162029"/>
    <w:rsid w:val="0017718A"/>
    <w:rsid w:val="001803AF"/>
    <w:rsid w:val="001A5DCB"/>
    <w:rsid w:val="001B2CF5"/>
    <w:rsid w:val="001B53FA"/>
    <w:rsid w:val="001E47ED"/>
    <w:rsid w:val="001F6299"/>
    <w:rsid w:val="00210507"/>
    <w:rsid w:val="00215049"/>
    <w:rsid w:val="00223589"/>
    <w:rsid w:val="002311A0"/>
    <w:rsid w:val="002355D1"/>
    <w:rsid w:val="0024333E"/>
    <w:rsid w:val="00246EBE"/>
    <w:rsid w:val="0026558C"/>
    <w:rsid w:val="00295453"/>
    <w:rsid w:val="002A7239"/>
    <w:rsid w:val="002E7B43"/>
    <w:rsid w:val="002F3611"/>
    <w:rsid w:val="002F5ACB"/>
    <w:rsid w:val="002F7ED8"/>
    <w:rsid w:val="003174D5"/>
    <w:rsid w:val="00322AE0"/>
    <w:rsid w:val="00341DA9"/>
    <w:rsid w:val="003460EC"/>
    <w:rsid w:val="00360FEA"/>
    <w:rsid w:val="00382C46"/>
    <w:rsid w:val="0039191F"/>
    <w:rsid w:val="00395180"/>
    <w:rsid w:val="003A61FF"/>
    <w:rsid w:val="003B6983"/>
    <w:rsid w:val="003C063B"/>
    <w:rsid w:val="003E49CC"/>
    <w:rsid w:val="003F161B"/>
    <w:rsid w:val="00412C56"/>
    <w:rsid w:val="00441CF1"/>
    <w:rsid w:val="0047051B"/>
    <w:rsid w:val="00470E46"/>
    <w:rsid w:val="00486DD2"/>
    <w:rsid w:val="00496607"/>
    <w:rsid w:val="004A52BD"/>
    <w:rsid w:val="004A5B22"/>
    <w:rsid w:val="004C6E55"/>
    <w:rsid w:val="0050528C"/>
    <w:rsid w:val="005072F0"/>
    <w:rsid w:val="00521F0E"/>
    <w:rsid w:val="00522757"/>
    <w:rsid w:val="00535010"/>
    <w:rsid w:val="005541BB"/>
    <w:rsid w:val="00564391"/>
    <w:rsid w:val="00564948"/>
    <w:rsid w:val="0057742D"/>
    <w:rsid w:val="00577B10"/>
    <w:rsid w:val="005806C7"/>
    <w:rsid w:val="005E52C5"/>
    <w:rsid w:val="00646FBE"/>
    <w:rsid w:val="006500E2"/>
    <w:rsid w:val="006671AA"/>
    <w:rsid w:val="00695771"/>
    <w:rsid w:val="006D0296"/>
    <w:rsid w:val="006D0F31"/>
    <w:rsid w:val="006D102B"/>
    <w:rsid w:val="007767DC"/>
    <w:rsid w:val="00777ACF"/>
    <w:rsid w:val="007845D6"/>
    <w:rsid w:val="007A0CAD"/>
    <w:rsid w:val="007C1687"/>
    <w:rsid w:val="007C2E42"/>
    <w:rsid w:val="007D247E"/>
    <w:rsid w:val="007E1CAC"/>
    <w:rsid w:val="007E26EB"/>
    <w:rsid w:val="007E3DF1"/>
    <w:rsid w:val="007E7CDA"/>
    <w:rsid w:val="00834AB8"/>
    <w:rsid w:val="0085257A"/>
    <w:rsid w:val="008867CD"/>
    <w:rsid w:val="008A49BF"/>
    <w:rsid w:val="008A69EC"/>
    <w:rsid w:val="008B5B20"/>
    <w:rsid w:val="008C71CC"/>
    <w:rsid w:val="008E714F"/>
    <w:rsid w:val="008F38BE"/>
    <w:rsid w:val="0090132E"/>
    <w:rsid w:val="00940ECC"/>
    <w:rsid w:val="009735DC"/>
    <w:rsid w:val="00991E36"/>
    <w:rsid w:val="00994B15"/>
    <w:rsid w:val="00997F76"/>
    <w:rsid w:val="009A7092"/>
    <w:rsid w:val="009A70A3"/>
    <w:rsid w:val="009D3426"/>
    <w:rsid w:val="009E7FFA"/>
    <w:rsid w:val="009F3956"/>
    <w:rsid w:val="009F409D"/>
    <w:rsid w:val="009F6775"/>
    <w:rsid w:val="00A27614"/>
    <w:rsid w:val="00A37B2C"/>
    <w:rsid w:val="00A53CC2"/>
    <w:rsid w:val="00A632F2"/>
    <w:rsid w:val="00A928A3"/>
    <w:rsid w:val="00A933D5"/>
    <w:rsid w:val="00AC7300"/>
    <w:rsid w:val="00AD2640"/>
    <w:rsid w:val="00B13D43"/>
    <w:rsid w:val="00B14BB5"/>
    <w:rsid w:val="00B16C14"/>
    <w:rsid w:val="00B368D5"/>
    <w:rsid w:val="00B45F6D"/>
    <w:rsid w:val="00B660AD"/>
    <w:rsid w:val="00B70B7D"/>
    <w:rsid w:val="00BB3E1C"/>
    <w:rsid w:val="00BC3DB3"/>
    <w:rsid w:val="00BF4128"/>
    <w:rsid w:val="00C065AB"/>
    <w:rsid w:val="00C210CF"/>
    <w:rsid w:val="00C24904"/>
    <w:rsid w:val="00C32A00"/>
    <w:rsid w:val="00CE5B51"/>
    <w:rsid w:val="00CF424B"/>
    <w:rsid w:val="00D00E21"/>
    <w:rsid w:val="00D2405F"/>
    <w:rsid w:val="00D322A9"/>
    <w:rsid w:val="00D34E55"/>
    <w:rsid w:val="00D64C4B"/>
    <w:rsid w:val="00D73D45"/>
    <w:rsid w:val="00D75028"/>
    <w:rsid w:val="00D838DA"/>
    <w:rsid w:val="00DB67C1"/>
    <w:rsid w:val="00DC061B"/>
    <w:rsid w:val="00DC69BB"/>
    <w:rsid w:val="00DF0E42"/>
    <w:rsid w:val="00DF5B25"/>
    <w:rsid w:val="00E0687B"/>
    <w:rsid w:val="00E159A3"/>
    <w:rsid w:val="00E16151"/>
    <w:rsid w:val="00E23BE8"/>
    <w:rsid w:val="00E41787"/>
    <w:rsid w:val="00E44F47"/>
    <w:rsid w:val="00E70EEC"/>
    <w:rsid w:val="00E75261"/>
    <w:rsid w:val="00E77BFB"/>
    <w:rsid w:val="00ED52C0"/>
    <w:rsid w:val="00F11385"/>
    <w:rsid w:val="00F1604E"/>
    <w:rsid w:val="00F23D36"/>
    <w:rsid w:val="00F4014F"/>
    <w:rsid w:val="00F710A0"/>
    <w:rsid w:val="00F77925"/>
    <w:rsid w:val="00F93DAE"/>
    <w:rsid w:val="00FA6BAD"/>
    <w:rsid w:val="00FB2CBA"/>
    <w:rsid w:val="00FB3C90"/>
    <w:rsid w:val="00FC24F8"/>
    <w:rsid w:val="00FD6C23"/>
    <w:rsid w:val="00FE635D"/>
    <w:rsid w:val="00FF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974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97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B660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66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4B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F09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341DA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6">
    <w:name w:val="p6"/>
    <w:basedOn w:val="a"/>
    <w:rsid w:val="0034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7E3DF1"/>
  </w:style>
  <w:style w:type="character" w:styleId="a9">
    <w:name w:val="Hyperlink"/>
    <w:uiPriority w:val="99"/>
    <w:semiHidden/>
    <w:unhideWhenUsed/>
    <w:rsid w:val="00441CF1"/>
    <w:rPr>
      <w:color w:val="0000FF"/>
      <w:u w:val="single"/>
    </w:rPr>
  </w:style>
  <w:style w:type="paragraph" w:customStyle="1" w:styleId="ConsPlusNormal">
    <w:name w:val="ConsPlusNormal"/>
    <w:link w:val="ConsPlusNormal0"/>
    <w:rsid w:val="00231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311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C6E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6E55"/>
  </w:style>
  <w:style w:type="character" w:customStyle="1" w:styleId="ConsPlusNormal0">
    <w:name w:val="ConsPlusNormal Знак"/>
    <w:link w:val="ConsPlusNormal"/>
    <w:uiPriority w:val="99"/>
    <w:locked/>
    <w:rsid w:val="005541B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Plain Text"/>
    <w:basedOn w:val="a"/>
    <w:link w:val="ac"/>
    <w:rsid w:val="00A933D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A933D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1"/>
    <w:basedOn w:val="a"/>
    <w:rsid w:val="00DB67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d">
    <w:name w:val="Table Grid"/>
    <w:basedOn w:val="a1"/>
    <w:uiPriority w:val="59"/>
    <w:rsid w:val="00246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0E035-9ABE-4B5C-BB9B-85E5F8EAC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cp:lastPrinted>2024-09-06T05:54:00Z</cp:lastPrinted>
  <dcterms:created xsi:type="dcterms:W3CDTF">2024-10-23T05:49:00Z</dcterms:created>
  <dcterms:modified xsi:type="dcterms:W3CDTF">2024-10-23T05:49:00Z</dcterms:modified>
</cp:coreProperties>
</file>