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firstLine="567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СВЕДЕНИЯ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целях обеспечения возможности проведения независимой антикоррупционной экспертизы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</w:t>
      </w:r>
      <w:r>
        <w:rPr>
          <w:b w:val="0"/>
          <w:bCs w:val="0"/>
          <w:sz w:val="24"/>
          <w:szCs w:val="24"/>
        </w:rP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rPr>
          <w:b w:val="0"/>
          <w:bCs w:val="0"/>
          <w:sz w:val="24"/>
          <w:szCs w:val="24"/>
        </w:rP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</w:t>
      </w:r>
      <w:r>
        <w:rPr>
          <w:b w:val="0"/>
          <w:bCs w:val="0"/>
          <w:sz w:val="24"/>
          <w:szCs w:val="24"/>
        </w:rP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rPr>
          <w:b w:val="0"/>
          <w:bCs w:val="0"/>
          <w:sz w:val="24"/>
          <w:szCs w:val="24"/>
        </w:rPr>
        <w:t xml:space="preserve">х правовых актов, согласно методике, определенной Правительством Российской Федерации.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Дата начала приема заключений по результатам проведения независимой антикоррупционной экспертизы: 11.06.2025 год.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both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Дата окончания приема заключений по результатам проведения независимой антикоррупционной экспертизы: 16.06. 2025 год.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</w:p>
    <w:p>
      <w:pPr>
        <w:pStyle w:val="84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990" cy="49515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7990" cy="495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49pt;height:38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проект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left="360" w:right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360" w:right="1" w:hanging="36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 Нефтекумск                                 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357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реализации Стратегии с</w:t>
      </w:r>
      <w:r>
        <w:rPr>
          <w:sz w:val="28"/>
          <w:szCs w:val="28"/>
        </w:rPr>
        <w:t xml:space="preserve">оциально-экономическо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Ставропольского края на период до 2035 года</w:t>
      </w:r>
      <w:r>
        <w:rPr>
          <w:sz w:val="28"/>
          <w:szCs w:val="28"/>
        </w:rPr>
        <w:t xml:space="preserve">, утвержденной решением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 от 1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 года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406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Дума</w:t>
      </w:r>
      <w:r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РЕШИЛ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прилагаем</w:t>
      </w:r>
      <w:r>
        <w:rPr>
          <w:sz w:val="28"/>
          <w:szCs w:val="28"/>
        </w:rPr>
        <w:t xml:space="preserve">ый отчет </w:t>
      </w:r>
      <w:r>
        <w:rPr>
          <w:sz w:val="28"/>
          <w:szCs w:val="28"/>
        </w:rPr>
        <w:t xml:space="preserve">о ходе реализации Стратегии с</w:t>
      </w:r>
      <w:r>
        <w:rPr>
          <w:sz w:val="28"/>
          <w:szCs w:val="28"/>
        </w:rPr>
        <w:t xml:space="preserve">оциально-экономическо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развити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left="0" w:firstLine="567"/>
        <w:jc w:val="both"/>
        <w:spacing w:after="0"/>
        <w:tabs>
          <w:tab w:val="num" w:pos="3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left="0" w:firstLine="567"/>
        <w:jc w:val="both"/>
        <w:spacing w:after="0"/>
        <w:tabs>
          <w:tab w:val="num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tabs>
          <w:tab w:val="num" w:pos="3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left="0" w:firstLine="567"/>
        <w:jc w:val="both"/>
        <w:spacing w:after="0"/>
        <w:tabs>
          <w:tab w:val="num" w:pos="3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right="1"/>
        <w:jc w:val="both"/>
        <w:shd w:val="clear" w:color="auto" w:fill="ffffff"/>
        <w:tabs>
          <w:tab w:val="num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Д.А. Слюсарев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0"/>
        <w:jc w:val="both"/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9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54"/>
              <w:ind w:firstLine="0"/>
              <w:jc w:val="both"/>
              <w:spacing w:line="240" w:lineRule="exact"/>
              <w:tabs>
                <w:tab w:val="left" w:pos="709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54"/>
              <w:ind w:firstLine="0"/>
              <w:jc w:val="right"/>
              <w:tabs>
                <w:tab w:val="left" w:pos="70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t xml:space="preserve">Думы </w:t>
            </w:r>
            <w:r>
              <w:rPr>
                <w:sz w:val="24"/>
                <w:szCs w:val="24"/>
              </w:rPr>
              <w:t xml:space="preserve">Нефтекумского </w:t>
            </w:r>
            <w:r>
              <w:rPr>
                <w:sz w:val="24"/>
                <w:szCs w:val="24"/>
              </w:rPr>
              <w:t xml:space="preserve">городского округа </w:t>
            </w:r>
            <w:r>
              <w:rPr>
                <w:sz w:val="24"/>
                <w:szCs w:val="24"/>
              </w:rPr>
              <w:t xml:space="preserve">Ставропольского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ind w:left="601" w:firstLine="0"/>
              <w:jc w:val="both"/>
              <w:spacing w:line="240" w:lineRule="exact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4"/>
        <w:ind w:firstLine="0"/>
        <w:jc w:val="both"/>
        <w:spacing w:line="240" w:lineRule="exact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ind w:firstLine="0"/>
        <w:jc w:val="center"/>
        <w:spacing w:line="240" w:lineRule="exact"/>
        <w:tabs>
          <w:tab w:val="left" w:pos="70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4"/>
        <w:ind w:firstLine="0"/>
        <w:jc w:val="center"/>
        <w:spacing w:line="240" w:lineRule="exact"/>
        <w:tabs>
          <w:tab w:val="left" w:pos="70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 июня 2014 года № 172-ФЗ «О стратегическом планировании в Российской Федерации», Стратегией социально-экономического раз</w:t>
      </w:r>
      <w:r>
        <w:rPr>
          <w:sz w:val="28"/>
          <w:szCs w:val="28"/>
        </w:rPr>
        <w:t xml:space="preserve">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 (изм. от 13 декабря 2022 года № 39) (далее – Стратегия, округ).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 ориентиров долгосрочной государственной политики и достижения национальных целей развития Российской Федерации, определенных в указах Президента Российской Федерации, а также достигнутого уровня развития округа, в 2024 году осуществлен мониторинг р</w:t>
      </w:r>
      <w:r>
        <w:rPr>
          <w:sz w:val="28"/>
          <w:szCs w:val="28"/>
        </w:rPr>
        <w:t xml:space="preserve">еализации Стратегии путем достижения целей и задач через государственные и муниципальные программы, схему территориального планирования округа, а также федеральные, национальные и региональные проекты. В Стратегии в качестве идеологии управления развитием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и достижения желаемого образа ее будущего выбран вектор опережающего развития на основе выстраивания открытого</w:t>
      </w:r>
      <w:r>
        <w:rPr>
          <w:sz w:val="28"/>
          <w:szCs w:val="28"/>
        </w:rPr>
        <w:t xml:space="preserve"> сотрудничества и надежного партнерства между властью и бизнесом, обеспечения качественного развития экономики, опирающегося на активное использование научного потенциала и инноваций, рост производительности труда и воспроизводство человеческого капитала.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Стратегической целью социально-экономического развития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повышение уровня жизни населения и обеспечение экономич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ского развития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реализации основных задач: создания высокопроизводительной </w:t>
      </w:r>
      <w:r>
        <w:rPr>
          <w:sz w:val="28"/>
          <w:szCs w:val="28"/>
        </w:rPr>
        <w:t xml:space="preserve">и конкурентной экономики,</w:t>
      </w:r>
      <w:r>
        <w:rPr>
          <w:sz w:val="28"/>
          <w:szCs w:val="28"/>
        </w:rPr>
        <w:t xml:space="preserve"> обеспечивающей стабильное развитие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 формирования условий для здоровой жизни в комфортной среде с динамичными возможностями профессиональной самореализации; обеспечения демографического благополучия и привлекательности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для жизни и отдыха.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целевых показателях реализации Стратегии и проведенных мероприятиях, способствующих достижению этих показателей, за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отражена в приложении.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из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целевых показателей реализации Стратегии по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– перевыполнены плановые значения, установленные по целевому сценарию Стратегии на 2024 год</w:t>
      </w:r>
      <w:r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плановые значения выполнены и по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показателям не выполнены.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 является одн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из аграрно-промышленных </w:t>
      </w:r>
      <w:r>
        <w:rPr>
          <w:sz w:val="28"/>
          <w:szCs w:val="28"/>
        </w:rPr>
        <w:t xml:space="preserve">территорий Ставропольского края (далее – край).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«Промышленность» </w:t>
      </w: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,8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рд</w:t>
      </w:r>
      <w:r>
        <w:rPr>
          <w:sz w:val="28"/>
          <w:szCs w:val="28"/>
        </w:rPr>
        <w:t xml:space="preserve">.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121,4 процента к 2023 году. Индекс физического объема промышленности в 2024 году составил 111,1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предыдущим годом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в структуре </w:t>
      </w:r>
      <w:r>
        <w:rPr>
          <w:sz w:val="28"/>
          <w:szCs w:val="28"/>
        </w:rPr>
        <w:t xml:space="preserve">промышленности</w:t>
      </w:r>
      <w:r>
        <w:rPr>
          <w:sz w:val="28"/>
          <w:szCs w:val="28"/>
        </w:rPr>
        <w:t xml:space="preserve"> увеличилась доля добычи полезных ископаемых на </w:t>
      </w:r>
      <w:r>
        <w:rPr>
          <w:sz w:val="28"/>
          <w:szCs w:val="28"/>
        </w:rPr>
        <w:t xml:space="preserve">4,3</w:t>
      </w:r>
      <w:r>
        <w:rPr>
          <w:sz w:val="28"/>
          <w:szCs w:val="28"/>
        </w:rPr>
        <w:t xml:space="preserve"> процентного пункта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Промышленный комплекс играет ключевую роль в развитии экономики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его долю приходится 7,4 процента занятости населения округа, 26,3 процента налоговых платежей, 33,4 про</w:t>
      </w:r>
      <w:r>
        <w:rPr>
          <w:sz w:val="28"/>
          <w:szCs w:val="28"/>
        </w:rPr>
        <w:t xml:space="preserve">цента налоговых и неналоговых платежей. Добывающая промышленность занимает ведущее место в промышленном комплексе округа, обеспечивая 5,8 процента занятости населения округа, 12,5 процента налоговых платежей, 17,9 процента налоговых и неналоговых платежей.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Объем инвестиций в основной капитал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составил </w:t>
      </w:r>
      <w:r>
        <w:rPr>
          <w:bCs/>
          <w:sz w:val="28"/>
          <w:szCs w:val="28"/>
        </w:rPr>
        <w:t xml:space="preserve">3,7 млрд. рублей, что меньше на 22,9 процента объема инвестиций за 2023 год.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 xml:space="preserve">По итогам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значение индекса физического объема инвестиций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основной капитал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69,7 процента к уровню 2023 года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Сокращение инвестиций обусловлено отсутствием реализованных значимых инвестиционных проектов в 2024 году по сравнению с 2023 годом (в 2023 году был реализован инвестиционный проект </w:t>
      </w:r>
      <w:r>
        <w:rPr>
          <w:rFonts w:eastAsia="Calibri"/>
          <w:sz w:val="28"/>
          <w:szCs w:val="28"/>
          <w:lang w:eastAsia="en-US"/>
        </w:rPr>
        <w:t xml:space="preserve">по производству электроэнергии на основе использования возобновляемых источников энергии ООО «Энергомин» общей стоимостью 1,8 млрд. рублей).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округе</w:t>
      </w:r>
      <w:r>
        <w:rPr>
          <w:sz w:val="28"/>
          <w:szCs w:val="28"/>
        </w:rPr>
        <w:t xml:space="preserve"> за счет всех источников финансирования введено в действие </w:t>
      </w:r>
      <w:r>
        <w:rPr>
          <w:sz w:val="28"/>
          <w:szCs w:val="28"/>
        </w:rPr>
        <w:t xml:space="preserve">24,5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кв. м жилых домов с ростом на </w:t>
      </w:r>
      <w:r>
        <w:rPr>
          <w:sz w:val="28"/>
          <w:szCs w:val="28"/>
        </w:rPr>
        <w:t xml:space="preserve">42,4</w:t>
      </w:r>
      <w:r>
        <w:rPr>
          <w:sz w:val="28"/>
          <w:szCs w:val="28"/>
        </w:rPr>
        <w:t xml:space="preserve"> процента в сравнении с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годом. По объему развития жилищного строительства </w:t>
      </w:r>
      <w:r>
        <w:rPr>
          <w:sz w:val="28"/>
          <w:szCs w:val="28"/>
        </w:rPr>
        <w:t xml:space="preserve">округ</w:t>
      </w:r>
      <w:r>
        <w:rPr>
          <w:sz w:val="28"/>
          <w:szCs w:val="28"/>
        </w:rPr>
        <w:t xml:space="preserve"> в отчетном году занял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место в рейтинге </w:t>
      </w:r>
      <w:r>
        <w:rPr>
          <w:sz w:val="28"/>
          <w:szCs w:val="28"/>
        </w:rPr>
        <w:t xml:space="preserve">муниципальных образований края</w:t>
      </w:r>
      <w:r>
        <w:rPr>
          <w:sz w:val="28"/>
          <w:szCs w:val="28"/>
        </w:rPr>
        <w:t xml:space="preserve"> и поднялся на 4 позиции в сравнении с прошлым годом (16 место)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 в действие жилых площадей осуществлено индивидуальными застройщиками.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сфере сельского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сельскохозяйственной проду</w:t>
      </w:r>
      <w:r>
        <w:rPr>
          <w:sz w:val="28"/>
          <w:szCs w:val="28"/>
        </w:rPr>
        <w:t xml:space="preserve">кции на сумму 6,1 млрд. рублей (оперативные данные). В сравнении с 2023 годом объем продукции сельского хозяйства увеличился на 0,4 млрд. рублей. В том числе, по продукции растениеводства объем производства составил 2,2 млрд. рублей против 2,6 млрд. рублей</w:t>
      </w:r>
      <w:r>
        <w:rPr>
          <w:sz w:val="28"/>
          <w:szCs w:val="28"/>
        </w:rPr>
        <w:t xml:space="preserve"> 2023 года (уменьшение-0,4 млрд. рублей). Снижение показателей валового объема производства продукции растениеводства произошло вследствие снижения цены на реализацию зерновых культур и винограда.  В отчетном году был получен хороший урожай зерновых и зерн</w:t>
      </w:r>
      <w:r>
        <w:rPr>
          <w:sz w:val="28"/>
          <w:szCs w:val="28"/>
        </w:rPr>
        <w:t xml:space="preserve">обобовых культур -127,6 тыс. тонн, урожайностью 31,4 ц/га, что больше уровня прошлого года на 15,7 процента, урожайность выросла на 4,9 ц/га. Подсолнечника собрали 1,8 тыс. тонн, что в 2 раза больше урожая прошлого года. Вырос на 511 тонн урожай винограда.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динамика в отрасли растениеводства стала возможной благодаря приобретению элитных семян на более продуктивные и устойчивые к погодным ус</w:t>
      </w:r>
      <w:r>
        <w:rPr>
          <w:sz w:val="28"/>
          <w:szCs w:val="28"/>
        </w:rPr>
        <w:t xml:space="preserve">ловиям районированные сорта, внесению минеральных удобрений. Значительное влияние на хорошую урожайность культур оказало развитие мелиоративного комплекса путем приобретения техники для компенсации недостатка почвенной влаги в нашей крайне засушливой зоне.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животноводства в отчетном году произведено продукции на 3,9 млрд. рублей, что больше объема продукции 2023 года на 21,9 процента, или 0,7 млн. рублей. Увеличение объема производства животноводческой продукции связано с ростом цен.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2024 году в округе насчитывалось 17,8 тыс. голов крупного рогатого скота, 314,1 тыс. голов мелкого рогатого скота и 164,7 тыс. голов птицы.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45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Всеми сельхоз товаропроизводителями округа произведено 13,7 тыс. тонн мяса, молока- 13,5 тыс. тонн, 23 </w:t>
      </w:r>
      <w:r>
        <w:rPr>
          <w:rFonts w:eastAsia="Calibri"/>
          <w:sz w:val="28"/>
          <w:szCs w:val="28"/>
          <w:lang w:eastAsia="en-US"/>
        </w:rPr>
        <w:t xml:space="preserve">млн</w:t>
      </w:r>
      <w:r>
        <w:rPr>
          <w:rFonts w:eastAsia="Calibri"/>
          <w:sz w:val="28"/>
          <w:szCs w:val="28"/>
          <w:lang w:eastAsia="en-US"/>
        </w:rPr>
        <w:t xml:space="preserve">. штук яиц.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45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развитие отрасли животноводства из бюджетов всех уровней была оказана гос</w:t>
      </w:r>
      <w:r>
        <w:rPr>
          <w:rFonts w:eastAsia="Calibri"/>
          <w:sz w:val="28"/>
          <w:szCs w:val="28"/>
          <w:lang w:eastAsia="en-US"/>
        </w:rPr>
        <w:t xml:space="preserve">ударственная поддержка на сумму 23,5 млн. руб.: 2,3 млн. рублей на развитие племенного животноводства, 12,5 млн. рублей на производство тонкорунной, полутонкорунной шерсти овец, 8,7 млн. рублей на разведение мясного скота и овец по программе «Агростартап».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45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Местный потребительский рынок представлен 447 объектами розничной торговли, 60 объектами общественного питания и 137 объектами бытового обслуживания населения, оказывающих услуги. Норматив минимальной обеспеченности населения </w:t>
      </w:r>
      <w:r>
        <w:rPr>
          <w:sz w:val="28"/>
          <w:szCs w:val="28"/>
          <w:shd w:val="clear" w:color="auto" w:fill="ffffff"/>
        </w:rPr>
        <w:t xml:space="preserve">площадью (количеством) стационарных торговых объектов установлен в размере 175 торговых объектов, фактическая обеспеченность в 2 раза больше. Оборот розничной торговли за 2024 год вырос на 10,8 процента или 249,4 млн. рублей и составил 2568,1 млн. рублей.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845"/>
        <w:ind w:firstLine="600"/>
        <w:jc w:val="both"/>
        <w:tabs>
          <w:tab w:val="left" w:pos="720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Малый бизнес представлен 1863 субъектами предпринимательс</w:t>
      </w:r>
      <w:r>
        <w:rPr>
          <w:sz w:val="28"/>
          <w:szCs w:val="28"/>
        </w:rPr>
        <w:t xml:space="preserve">тва, в том числе, на долю средних, малых и микропредприятий приходится 7,5 процента, индивидуальных предпринимателей и крестьянско-фермерских хозяйств 92,5 процента. Переход на новый налоговый режим способствовал снижению количества малых и микропредприяти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 1,4 процента: с 141 единицы в 2023 году до 139 единиц в 2024 году.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845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Численность занятых в сфере </w:t>
      </w:r>
      <w:r>
        <w:rPr>
          <w:rFonts w:eastAsia="Calibri"/>
          <w:sz w:val="28"/>
          <w:szCs w:val="28"/>
          <w:lang w:eastAsia="en-US"/>
        </w:rPr>
        <w:t xml:space="preserve">малого и среднего предпринимательства</w:t>
      </w:r>
      <w:r>
        <w:rPr>
          <w:rFonts w:eastAsia="Calibri"/>
          <w:sz w:val="28"/>
          <w:szCs w:val="28"/>
          <w:lang w:eastAsia="en-US"/>
        </w:rPr>
        <w:t xml:space="preserve">, включая индивидуальных предпринимателей и самозанятых, за 2024 год составляет 6743 человека, выполнение сопоставимое с прошлым годом – 96,7 процента.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45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Сумма налоговых поступлений в бюджеты всех уровней от деятельности малых и средних предприятий за 2024 год составляет 542,3 млн. рублей, за 2023 год - 418,5 млн. рублей.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45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Фактическое поступление доходов в бюджет Нефтекумского муниципального округа Ставропольского края (далее – местный бюджет) составило 2556,3 млн. рублей, или 112,0 процентов к 2023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45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поступле</w:t>
      </w:r>
      <w:r>
        <w:rPr>
          <w:sz w:val="28"/>
          <w:szCs w:val="28"/>
        </w:rPr>
        <w:t xml:space="preserve">ние налоговых и неналоговых доходов составило 720,4 млн. рублей, что больше показателя 2023 года в 2 раза. Доля поступивших налоговых и неналоговых доходов в общем объеме доходов местного бюджета выросла на 12,6 процентных пункта и составила 28,2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600"/>
        <w:jc w:val="both"/>
        <w:rPr>
          <w:sz w:val="28"/>
        </w:rPr>
      </w:pPr>
      <w:r>
        <w:rPr>
          <w:sz w:val="28"/>
          <w:szCs w:val="28"/>
        </w:rPr>
        <w:t xml:space="preserve"> Безвозмездные поступления составили 1835,9 млн. рублей, их доля в общем объеме доходов местного бюджета составила 71,8 процента.</w:t>
      </w:r>
      <w:r>
        <w:rPr>
          <w:sz w:val="28"/>
        </w:rPr>
      </w:r>
      <w:r>
        <w:rPr>
          <w:sz w:val="28"/>
        </w:rPr>
      </w:r>
    </w:p>
    <w:p>
      <w:pPr>
        <w:pStyle w:val="845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Кассовое исполнение по расходам местного бюджета за 2024 год сложилось в сумме 2 421,9 млн. рублей. Расходы местного бюджета в </w:t>
      </w:r>
      <w:r>
        <w:rPr>
          <w:sz w:val="28"/>
          <w:szCs w:val="28"/>
        </w:rPr>
        <w:t xml:space="preserve">отчетном периоде </w:t>
      </w:r>
      <w:r>
        <w:rPr>
          <w:sz w:val="28"/>
          <w:szCs w:val="28"/>
        </w:rPr>
        <w:t xml:space="preserve">уменьшились по отношению к 2023 году на 166,7 млн.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</w:t>
      </w:r>
      <w:r>
        <w:rPr>
          <w:sz w:val="28"/>
          <w:szCs w:val="28"/>
        </w:rPr>
        <w:t xml:space="preserve">ую долю в расходах местного бюджета занимают сфера образования – 52,1 процента и социальная политика – 13,8 процента, на жилищно-коммунальное хозяйство приходится 8,4 процента, культуру, кинематографию – 6,8 процента, национальную экономику – 6,5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исполнялся в рамках 11 муниципальных программ с общим объемом финансирования 2283,9 млн. рублей, что выше уровня 2023 года на 6,6 процента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Доля расходов на реализацию муниципальных программ составила 94,3 процента в общем объеме расходов местного бюджета.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60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Доля расходов местного бюджета на социальную сферу составила 74,0 процента в общем объеме расходов местного бюджета или 1792,6</w:t>
      </w:r>
      <w:r>
        <w:rPr>
          <w:positio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left="118" w:firstLine="60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Профицит местного бюджета по состоянию на 1 января 2025 года составил 134,6 млн.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экономику округа продолжают оказывать давление внутренние и внешние факторы, как и на всю экономику страны, не позволяющие повлиять на </w:t>
      </w:r>
      <w:r>
        <w:rPr>
          <w:sz w:val="28"/>
          <w:szCs w:val="28"/>
          <w:shd w:val="clear" w:color="auto" w:fill="f7f7f7"/>
        </w:rPr>
        <w:t xml:space="preserve">значительные изменения в экономике округа, способные поднять социально-экономические показатели на более высокий уровень развития и трансформации.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сложившуюся ситуацию, главным итогом реализации Стратегии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является сохранение положительной динамики в базовых отраслях экономики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и положительных тенденций в социальной сфере. Необходимо отметить, что с целью преодоления негативных тенденций и достижения макроэкономической стабильности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продолжится процесс поступательного развития экономики и социальной сферы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в целом, в том числе путем достижения целевых показателей реализации Стратегии.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0"/>
        <w:jc w:val="both"/>
        <w:spacing w:line="240" w:lineRule="exact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0"/>
        <w:jc w:val="both"/>
        <w:spacing w:line="240" w:lineRule="exact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0"/>
        <w:jc w:val="both"/>
        <w:spacing w:line="240" w:lineRule="exact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0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567" w:right="851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Д.Н. Сокуренко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pPr w:horzAnchor="margin" w:tblpX="75" w:vertAnchor="margin" w:tblpY="-405" w:leftFromText="180" w:topFromText="0" w:rightFromText="180" w:bottomFromText="0"/>
        <w:tblW w:w="1555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55"/>
        <w:gridCol w:w="680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7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  <w:framePr w:hSpace="180" w:wrap="around" w:vAnchor="margin" w:hAnchor="margin" w:x="75" w:y="-405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  <w:framePr w:hSpace="180" w:wrap="around" w:vAnchor="margin" w:hAnchor="margin" w:x="75" w:y="-405"/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right="603"/>
              <w:jc w:val="center"/>
              <w:tabs>
                <w:tab w:val="left" w:pos="6266" w:leader="none"/>
              </w:tabs>
              <w:rPr>
                <w:sz w:val="24"/>
                <w:szCs w:val="24"/>
              </w:rPr>
              <w:framePr w:x="75"/>
            </w:pPr>
            <w:r>
              <w:rPr>
                <w:sz w:val="24"/>
                <w:szCs w:val="24"/>
              </w:rPr>
              <w:t xml:space="preserve">к отчету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jc w:val="center"/>
              <w:rPr>
                <w:sz w:val="24"/>
                <w:szCs w:val="24"/>
              </w:rPr>
              <w:framePr w:hSpace="180" w:wrap="around" w:vAnchor="margin" w:hAnchor="margin" w:x="75" w:y="-405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целевых показателя</w:t>
      </w:r>
      <w:r>
        <w:rPr>
          <w:sz w:val="28"/>
          <w:szCs w:val="28"/>
        </w:rPr>
        <w:t xml:space="preserve">х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2024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1"/>
        <w:gridCol w:w="1955"/>
        <w:gridCol w:w="4678"/>
        <w:gridCol w:w="4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задач, показателя реализации Стратегии и проведенные мероприятия, способствующие достижению показателя реализации Стратег</w:t>
            </w:r>
            <w:r>
              <w:rPr>
                <w:sz w:val="24"/>
                <w:szCs w:val="24"/>
              </w:rPr>
              <w:t xml:space="preserve">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Плановое значение показателя Стратегии по третьему сценарию (целевой вариант) на 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выполнение показателя Стратегии за 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человеческого капитала и социальной сферы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Среднегодовая численность постоянного населения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чел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постоянного населения округа за 2024 год составила 59,72 тыс. чело</w:t>
            </w:r>
            <w:r>
              <w:rPr>
                <w:sz w:val="24"/>
                <w:szCs w:val="24"/>
              </w:rPr>
              <w:t xml:space="preserve">век, что на 3,4 тыс. человек или 5,4 процента меньше по сравнению с плановым значением. Значительное отклонение от плана обусловлено всероссийской переписью населения в 2020 году. Плановое значение формировалось с учетом численности населения до пересчета.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Ежегодное</w:t>
            </w:r>
            <w:r>
              <w:rPr>
                <w:sz w:val="24"/>
                <w:szCs w:val="24"/>
              </w:rPr>
              <w:t xml:space="preserve"> сокращение численности населения округа стало результатом миграционной убыли.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Общий коэффициент рождаемости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родившихся на 1000 человек населения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протяжении длительного времени в округе естественный прирост населения имеет положительную динамику.</w:t>
            </w:r>
            <w:r>
              <w:rPr>
                <w:sz w:val="24"/>
                <w:szCs w:val="24"/>
              </w:rPr>
              <w:t xml:space="preserve"> По итогам 2024 года в рейтинге муниципальных образований края по значению коэффициента рождаемости округ находится на 1 месте</w:t>
            </w:r>
            <w:r>
              <w:rPr>
                <w:sz w:val="24"/>
                <w:szCs w:val="24"/>
              </w:rPr>
              <w:t xml:space="preserve"> и поделил его </w:t>
            </w:r>
            <w:r>
              <w:rPr>
                <w:sz w:val="24"/>
                <w:szCs w:val="24"/>
              </w:rPr>
              <w:t xml:space="preserve">с Благодарненским муниципальным округом Ставропольского края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Фактическое значение показателя выше среднекраевого (8,1 промилле) на 2,2 промилле, и меньше планового значения на 2,2 промилле.</w:t>
            </w:r>
            <w:r>
              <w:rPr>
                <w:sz w:val="24"/>
                <w:szCs w:val="24"/>
              </w:rPr>
              <w:t xml:space="preserve"> На социально-демографическую ситуацию в округе, так же, как и в крае и в целом в Российской Федерации, оказывает влияние сокращение числа женщин репродуктивного возраста.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ind w:firstLine="709"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статистического наблюд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среднее выбытие из округа женщин активного репродуктивного возраста (20-39 лет) составляет 18,0 процентов от числа выбывшего населения, при этом число женщин этой возрастной группы выбывает на 10,0-15,0 процентов больше чем прибывает. Миграция женщин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репродуктивного возраста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составляет 48,8 процента, межрегиональная 50,7 процента, прочая миграция 0,5 процента.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усилить меры по повышению уровня рождаемости населения в округе и поддержке семей с детьми.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ребуется проведение мероприятий, направленных на оказание социальной поддержки семей с детьми, повышение эффективности и качества медицинских услуг семьям </w:t>
            </w:r>
            <w:r>
              <w:rPr>
                <w:sz w:val="24"/>
                <w:szCs w:val="24"/>
              </w:rPr>
              <w:t xml:space="preserve">с детьми, укрепление материально-технической базы учреждений родовспоможения, развитие сети дошкольных образовательных организаций, создание условий для повышения доступности жилья для семей с детьми, в первую очередь для молодых семей с детьми, и другие.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Общий коэффициент смертности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число умерших на 1000 человек населения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 2024 год общий коэффициент смертности составил 9,7 умерших на 1000 человек населения при плановом значении 10,8 умерших на 1000 человек населения. Исполнение Указа Презид</w:t>
            </w:r>
            <w:r>
              <w:rPr>
                <w:sz w:val="24"/>
                <w:szCs w:val="24"/>
              </w:rPr>
              <w:t xml:space="preserve">ента Российской Федерации от 7 мая 2012 года № 598 «О совершенствовании государственной политики в сфере здравоохранения» обеспечено снижением смертности от: болезней системы кровообращения до 42,5 случаев на 10,0 тыс. населения; новообразований 13,0 случа</w:t>
            </w:r>
            <w:r>
              <w:rPr>
                <w:sz w:val="24"/>
                <w:szCs w:val="24"/>
              </w:rPr>
              <w:t xml:space="preserve">ев (в т. ч. от злокачественных-12,7 случаев) на 10,0 тыс. населения; туберкулеза до 5 случаев на 10,0 тыс. населения; дорожно-транспортных происшествий 4 случая на 10,0 тыс. населения; младенческая смертность составила 6,2 случая на 1000 родившихся живыми.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Ожидаемая продолжительность жизни при рождении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Ожидаемая продолжительность жизни при рождении за 2024 год </w:t>
            </w:r>
            <w:r>
              <w:rPr>
                <w:sz w:val="24"/>
                <w:szCs w:val="24"/>
              </w:rPr>
              <w:t xml:space="preserve">сложилась ниже целевого показателя на 1 год.</w:t>
            </w:r>
            <w:r>
              <w:rPr>
                <w:sz w:val="24"/>
                <w:szCs w:val="24"/>
              </w:rPr>
              <w:t xml:space="preserve"> Со стороны здравоохранения в округе проводилась работа по укреплению здоровья населения, раннему выявлению социально значимых заболеваний, пропаганде здорового образа жизни, повышению у населения мотивации к ведению здорового образа жизни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ожидаемой продолжительности здоровой жизни населения округа будет достигнута за счет формирования системы мотивации населения округа к ведению здорового образа жизни, включая здоровое пита</w:t>
            </w:r>
            <w:r>
              <w:rPr>
                <w:sz w:val="24"/>
                <w:szCs w:val="24"/>
              </w:rPr>
              <w:t xml:space="preserve">ние, снижение потребления алкоголя, табака. В отчетном году открыто отделение медицинской профилактики, в составе которого функционирует кабинет отказа от курения, открыт кабинет «Школа для больных сахарным диабетом».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рамках повышения качества и доступности медицинской помощи в округе будет продолжена работа, напр</w:t>
            </w:r>
            <w:r>
              <w:rPr>
                <w:sz w:val="24"/>
                <w:szCs w:val="24"/>
              </w:rPr>
              <w:t xml:space="preserve">авленная на развитие амбулаторно-поликлинической помощи с усилением профилактической, диагностической, диспансерной направленности. Объемы стационарной медицинской помощи будут перераспределены на амбулаторно-поликлинический уровень и в дневные стационары.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45662,0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56372,1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доля промышленности в структуре экономики округа определила уровень среднемесячной зар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ботной платы по организациям, не относящимся к субъектам малого предпринимательства. Р</w:t>
            </w:r>
            <w:r>
              <w:rPr>
                <w:sz w:val="24"/>
                <w:szCs w:val="24"/>
              </w:rPr>
              <w:t xml:space="preserve">ост среднемесячной заработной платы работников предприятий (+17,5 процента) </w:t>
            </w:r>
            <w:r>
              <w:rPr>
                <w:sz w:val="24"/>
                <w:szCs w:val="24"/>
              </w:rPr>
              <w:t xml:space="preserve">частично обеспечен двухэтапным повышением уровня заработной планы работников ООО «СТАВРОПОЛЬНЕФТЕГАЗ», на долю которых приходится 14,2 процента от общей численности работников организаций округа, повышени</w:t>
            </w:r>
            <w:r>
              <w:rPr>
                <w:sz w:val="24"/>
                <w:szCs w:val="24"/>
              </w:rPr>
              <w:t xml:space="preserve">ем</w:t>
            </w:r>
            <w:r>
              <w:rPr>
                <w:sz w:val="24"/>
                <w:szCs w:val="24"/>
              </w:rPr>
              <w:t xml:space="preserve"> минимального размера оплаты труда, оплаты труда отдельным категориям работников бюджетной сферы.</w:t>
            </w:r>
            <w:r>
              <w:rPr>
                <w:sz w:val="24"/>
                <w:szCs w:val="24"/>
              </w:rPr>
              <w:t xml:space="preserve"> При этом сохраняется о</w:t>
            </w:r>
            <w:r>
              <w:rPr>
                <w:sz w:val="24"/>
                <w:szCs w:val="24"/>
              </w:rPr>
              <w:t xml:space="preserve">тставание размера среднемесячной заработной планы по округу от среднемесячной заработной</w:t>
            </w:r>
            <w:r>
              <w:rPr>
                <w:sz w:val="24"/>
                <w:szCs w:val="24"/>
              </w:rPr>
              <w:t xml:space="preserve"> планы по краю на</w:t>
            </w:r>
            <w:r>
              <w:rPr>
                <w:sz w:val="24"/>
                <w:szCs w:val="24"/>
              </w:rPr>
              <w:t xml:space="preserve"> 9,9 процента или 6164,3 рублей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зарегистрированной безработицы (на конец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</w:pPr>
            <w:r>
              <w:rPr>
                <w:sz w:val="24"/>
                <w:szCs w:val="24"/>
              </w:rPr>
              <w:t xml:space="preserve">Численность официально зарегистрированных безработных в округе на конец декабря 2024 год</w:t>
            </w:r>
            <w:r>
              <w:rPr>
                <w:sz w:val="24"/>
                <w:szCs w:val="24"/>
              </w:rPr>
              <w:t xml:space="preserve">а, в сравнении с соответствующим периодом 2023 года снизилась на 15 человек, или на 13,6 процента, и составила 95 человек. Уровень регистрируемой безработицы в округе на конец 2024 года составил 0,3 процента от численности экономически активного населения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sz w:val="24"/>
                <w:szCs w:val="24"/>
              </w:rPr>
              <w:t xml:space="preserve"> (в 2023 году – 0,4 процента) и снизился по сравнению с предыдущим годом на 0,1 процентный пункт.</w:t>
            </w:r>
            <w:r>
              <w:t xml:space="preserve"> </w:t>
            </w:r>
            <w:r/>
          </w:p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 в целях повышения конкурентоспособности и мобильности на рынке труда к различным видам профессионального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обучения приступили </w:t>
            </w:r>
            <w:r>
              <w:rPr>
                <w:sz w:val="24"/>
                <w:szCs w:val="24"/>
              </w:rPr>
              <w:t xml:space="preserve">37 граждан </w:t>
            </w:r>
            <w:r>
              <w:rPr>
                <w:sz w:val="24"/>
                <w:szCs w:val="24"/>
              </w:rPr>
              <w:t xml:space="preserve">(за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расширения возможностей для трудоустройства граждан в округе были организованы оплачиваемые общественные работы, в которых приняли участие 5 человек (в 2023 году – </w:t>
            </w: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человек)</w:t>
            </w:r>
            <w:r>
              <w:t xml:space="preserve">. </w:t>
            </w:r>
            <w:r>
              <w:rPr>
                <w:sz w:val="24"/>
                <w:szCs w:val="24"/>
              </w:rPr>
              <w:t xml:space="preserve">Государственную услугу по содействию началу осуществления предприни</w:t>
            </w:r>
            <w:r>
              <w:rPr>
                <w:sz w:val="24"/>
                <w:szCs w:val="24"/>
              </w:rPr>
              <w:t xml:space="preserve">мательской деятельности получил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человек (в 2023 году –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), получив единовременную финансовую помощь в размере </w:t>
            </w: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тыс. </w:t>
            </w:r>
            <w:r>
              <w:rPr>
                <w:sz w:val="24"/>
                <w:szCs w:val="24"/>
              </w:rPr>
              <w:t xml:space="preserve">руб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Работодатели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sz w:val="24"/>
                <w:szCs w:val="24"/>
              </w:rPr>
              <w:t xml:space="preserve"> заявили в банк данных </w:t>
            </w:r>
            <w:r>
              <w:rPr>
                <w:sz w:val="24"/>
                <w:szCs w:val="24"/>
              </w:rPr>
              <w:t xml:space="preserve">потребность в работниках </w:t>
            </w:r>
            <w:r>
              <w:rPr>
                <w:sz w:val="24"/>
                <w:szCs w:val="24"/>
              </w:rPr>
              <w:t xml:space="preserve">в количестве </w:t>
            </w:r>
            <w:r>
              <w:rPr>
                <w:sz w:val="24"/>
                <w:szCs w:val="24"/>
              </w:rPr>
              <w:t xml:space="preserve">2355 </w:t>
            </w:r>
            <w:r>
              <w:rPr>
                <w:sz w:val="24"/>
                <w:szCs w:val="24"/>
              </w:rPr>
              <w:t xml:space="preserve">свободных рабочих мест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600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Сферой дошкольного образования охвачены 3147 детей (2023 год – 3427 детей). </w:t>
            </w:r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Достигнута абсолютная доступность дошкольного образования для детей в возрасте от 3 до 7 лет. </w:t>
            </w:r>
            <w:r>
              <w:rPr>
                <w:rFonts w:eastAsia="Calibri"/>
                <w:sz w:val="24"/>
                <w:szCs w:val="24"/>
                <w:lang w:eastAsia="en-US" w:bidi="en-US"/>
              </w:rPr>
            </w:r>
            <w:r>
              <w:rPr>
                <w:rFonts w:eastAsia="Calibri"/>
                <w:sz w:val="24"/>
                <w:szCs w:val="24"/>
                <w:lang w:eastAsia="en-US" w:bidi="en-US"/>
              </w:rPr>
            </w:r>
          </w:p>
          <w:p>
            <w:pPr>
              <w:pStyle w:val="845"/>
              <w:contextualSpacing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</w:t>
            </w:r>
            <w:r>
              <w:rPr>
                <w:sz w:val="24"/>
                <w:szCs w:val="24"/>
              </w:rPr>
              <w:t xml:space="preserve">те 1 - 6 лет в 2024 году снизилась на 0,4 процента и составила 64,1 процента. Снижение показателя обусловлено сокращением общей численности детей этого возраста на 7,6 процента в 2024 году. Целевое значение Стратегии перевыполнено на 1,2 процентных пункта.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firstLine="709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В течение 2024 года проведен ремонт инженерных сетей трех муниципальных казенных дошкольных общеобразовательных учреждений (</w:t>
            </w:r>
            <w:r>
              <w:rPr>
                <w:sz w:val="24"/>
                <w:szCs w:val="24"/>
              </w:rPr>
              <w:t xml:space="preserve">МБДОУ Д/С № 2 «Сказка», МБДОУ Д/С № 5 «Тополек», МБДОУ Д/С № 21 «Одуванчик» </w:t>
            </w:r>
            <w:r>
              <w:rPr>
                <w:sz w:val="24"/>
                <w:szCs w:val="24"/>
              </w:rPr>
              <w:t xml:space="preserve">и наружного освещения двух дошкольных общеобразовательных учреждений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МБДОУ Д/С № 2 «Сказка», МБДОУ Д/С № 5 «Тополек»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rFonts w:eastAsia="Calibri"/>
                <w:sz w:val="24"/>
                <w:szCs w:val="24"/>
                <w:lang w:eastAsia="en-US" w:bidi="en-US"/>
              </w:rPr>
            </w:r>
            <w:r>
              <w:rPr>
                <w:rFonts w:eastAsia="Calibri"/>
                <w:sz w:val="24"/>
                <w:szCs w:val="24"/>
                <w:lang w:eastAsia="en-US" w:bidi="en-US"/>
              </w:rPr>
            </w:r>
          </w:p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Вместе с тем при имеющ</w:t>
            </w:r>
            <w:r>
              <w:rPr>
                <w:sz w:val="24"/>
                <w:szCs w:val="24"/>
              </w:rPr>
              <w:t xml:space="preserve">ихся позитивных результатах по укреплению материально-технической базы дошкольного образования округ все еще не достиг среднекраевого и среднероссийского уровней по охвату дошкольным образованием (70,3 процента –край; 74,9 процента – Российская Федерация).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1 - 6 лет, стоящих на учете для</w:t>
            </w:r>
            <w:r>
              <w:rPr>
                <w:sz w:val="24"/>
                <w:szCs w:val="24"/>
              </w:rPr>
              <w:t xml:space="preserve"> определения в муниципальные дошкольные образовательные учреждения, в общей численности детей в возрасте 1-6 лет в 2024 году составила 1,2 процента, что меньше доли предшествующего года на 0,3 процентных пункта, и больше планового значения на 0,7 процента.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5 - 18 лет, охваченных дополнительным образованием в  общей численности детей от 5 до 18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contextualSpacing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Доля детей в возрасте 5 - 18 лет, полу</w:t>
            </w:r>
            <w:r>
              <w:rPr>
                <w:sz w:val="24"/>
                <w:szCs w:val="24"/>
                <w:lang w:eastAsia="en-US"/>
              </w:rPr>
              <w:t xml:space="preserve">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составляет 75,5 процента, рост к 2023 году на 0,4 процента, к плану 0,5 процента.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населения систематически занимающегося физической культурой и спортом, в общей численности населения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Доля населения, систематически занимающегося физической культурой и спортом, в общей численности населения увеличилась на 3,4 процента в сравнении с показателем 2023 года и составила 61,5 процента. Целевой показатель перевыполнен на 6,4 процентных пункта.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</w:t>
            </w:r>
            <w:r>
              <w:rPr>
                <w:sz w:val="24"/>
                <w:szCs w:val="24"/>
                <w:lang w:eastAsia="en-US"/>
              </w:rPr>
              <w:t xml:space="preserve">учающихся, систематически занимающихся физической культурой и спортом, в общей численности обучающихся в 2024 году составила 98,89 процента, что больше показателя 2023 года на 0,3 процентных пункта. Целевое значение перевыполнено на 0,19 процентных пункта.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учреждений культуры, культурно-массовых мероприятий в расчете на 1 жителя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итогам года посещения культурно-массовых мероприятий составили </w:t>
            </w:r>
            <w:r>
              <w:rPr>
                <w:bCs/>
                <w:sz w:val="24"/>
                <w:szCs w:val="24"/>
              </w:rPr>
              <w:t xml:space="preserve">610100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единиц</w:t>
            </w:r>
            <w:r>
              <w:rPr>
                <w:rFonts w:eastAsia="Calibri"/>
                <w:sz w:val="24"/>
                <w:szCs w:val="24"/>
              </w:rPr>
              <w:t xml:space="preserve">,</w:t>
            </w:r>
            <w:r>
              <w:rPr>
                <w:rFonts w:eastAsia="Calibri"/>
                <w:sz w:val="24"/>
                <w:szCs w:val="24"/>
              </w:rPr>
              <w:t xml:space="preserve"> или 10,2 посещения на одного жителя округа, что выше показателя за 2023 год на 10,0 процентных пункт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выполнение целевого</w:t>
            </w:r>
            <w:r>
              <w:rPr>
                <w:rFonts w:eastAsia="Calibri"/>
                <w:sz w:val="24"/>
                <w:szCs w:val="24"/>
              </w:rPr>
              <w:t xml:space="preserve"> значения</w:t>
            </w:r>
            <w:r>
              <w:rPr>
                <w:rFonts w:eastAsia="Calibri"/>
                <w:sz w:val="24"/>
                <w:szCs w:val="24"/>
              </w:rPr>
              <w:t xml:space="preserve"> Стратегии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r>
              <w:rPr>
                <w:rFonts w:eastAsia="Calibri"/>
                <w:sz w:val="24"/>
                <w:szCs w:val="24"/>
              </w:rPr>
              <w:t xml:space="preserve">2,5 </w:t>
            </w:r>
            <w:r>
              <w:rPr>
                <w:rFonts w:eastAsia="Calibri"/>
                <w:sz w:val="24"/>
                <w:szCs w:val="24"/>
              </w:rPr>
              <w:t xml:space="preserve">процент</w:t>
            </w:r>
            <w:r>
              <w:rPr>
                <w:rFonts w:eastAsia="Calibri"/>
                <w:sz w:val="24"/>
                <w:szCs w:val="24"/>
              </w:rPr>
              <w:t xml:space="preserve">ных пункта</w:t>
            </w:r>
            <w:r>
              <w:rPr>
                <w:rFonts w:eastAsia="Calibri"/>
                <w:sz w:val="24"/>
                <w:szCs w:val="24"/>
              </w:rPr>
              <w:t xml:space="preserve">.  В учреждениях культурно-досугового типа проведено 6090 культурно-массовых мероприятий.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конкурентоспособной эффективной экономики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по промышленным видам экономической деятельности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млн.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25785,5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объем отгруженных товаров собственного производства, выполненных работ и услуг собственными силами по виду экономической деятельности «Промышленность» составил 25785,5 млн. рублей, или 121,4 процента к 2023 году. Индекс фи</w:t>
            </w:r>
            <w:r>
              <w:rPr>
                <w:sz w:val="24"/>
                <w:szCs w:val="24"/>
              </w:rPr>
              <w:t xml:space="preserve">зического объема промышленности в 2024 году составил 111,1 процента. Не выполнение целевого показателя Стратегии на 19,4 процента или 6214,5 млн. рублей обусловлено возникшими трудностями по определению точек сбыта продукции на предприятиях данной отрасли.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Объем инвестиций в основной капитал в расчете на 1 жителя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45152,0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Показатель достигнут и перевыполнен на 33,8 процента. Однако о</w:t>
            </w:r>
            <w:r>
              <w:rPr>
                <w:bCs/>
                <w:sz w:val="24"/>
                <w:szCs w:val="24"/>
              </w:rPr>
              <w:t xml:space="preserve">бъем инвестиций в основной капитал за счет всех источников финансирования в 2024 году составил 3,7 млрд. рублей, что меньше на 22,9 процента объема инвестиций за 2023 год.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Сокращение инвестиций обусловлено отсутствием реализованных значимых инвестиционных проектов в 2024 году по сравнению с 2023 годом (в 2023 году был реализован инвестиционный проект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производству электроэнергии на основе использования возобновляемых источников энергии ООО «Энергомин» общей стоимостью 1,8 млрд. рублей).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 индивидуальных предпринимателей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Численность занятых в сфере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малого и среднего предпринимательства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включая индивидуальных предпринимателей и самозанятых за 2024 год составляет 6743 человека, целевое значение выполнено на 160,5 процента, выполнение сопоставимое с прошлым годом – 96,7 процента.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Число субъектов малого и среднего предпринимательства в расчете на 10 тысяч человек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субъектов малого и среднего предпринимательства в расчете на 10 тысяч ч</w:t>
            </w:r>
            <w:r>
              <w:rPr>
                <w:sz w:val="24"/>
                <w:szCs w:val="24"/>
              </w:rPr>
              <w:t xml:space="preserve">еловек увеличилось в 2,5 раза к плановому значению целевого показателя. Малый бизнес представлен 1863 субъектами предпринимательства, в том числе, на долю средних, малых и микропредприятий приходится 7,5 процента, индивидуальных предпринимателей и крестьян</w:t>
            </w:r>
            <w:r>
              <w:rPr>
                <w:sz w:val="24"/>
                <w:szCs w:val="24"/>
              </w:rPr>
              <w:t xml:space="preserve">ско-фермерских хозяйств 92,5 процента. Переход на новый налоговый режим способствовал снижению количества малых и средних предприятий, включая микропредприятия на 1,4 процента, с 141 единицы в 2023 году до 139 единиц в 2024 году, и росту числа самозанятых.</w:t>
            </w:r>
            <w:r>
              <w:rPr>
                <w:sz w:val="24"/>
                <w:szCs w:val="24"/>
              </w:rPr>
              <w:t xml:space="preserve"> Кроме того, в 2024 году увеличилось на 3,5 процента </w:t>
            </w:r>
            <w:r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 xml:space="preserve">крестьянско-фермерских хозяйств.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</w:t>
            </w:r>
            <w:r>
              <w:rPr>
                <w:sz w:val="24"/>
                <w:szCs w:val="24"/>
              </w:rPr>
              <w:t xml:space="preserve">их предприятий в среднесписочной численности работников (без внешних совместителей) всех предприятий в 2024 году сократилась на 0,9 процентных пункта по отношению к прошлому году. К целевому показателю снижение составило 1,9 процентных пункта. В отчетном п</w:t>
            </w:r>
            <w:r>
              <w:rPr>
                <w:sz w:val="24"/>
                <w:szCs w:val="24"/>
              </w:rPr>
              <w:t xml:space="preserve">ериоде на 154 человека сократила</w:t>
            </w:r>
            <w:r>
              <w:rPr>
                <w:sz w:val="24"/>
                <w:szCs w:val="24"/>
              </w:rPr>
              <w:t xml:space="preserve">сь числ</w:t>
            </w:r>
            <w:r>
              <w:rPr>
                <w:sz w:val="24"/>
                <w:szCs w:val="24"/>
              </w:rPr>
              <w:t xml:space="preserve">енность</w:t>
            </w:r>
            <w:r>
              <w:rPr>
                <w:sz w:val="24"/>
                <w:szCs w:val="24"/>
              </w:rPr>
              <w:t xml:space="preserve"> работников малых и микропредприятий</w:t>
            </w:r>
            <w:r>
              <w:rPr>
                <w:sz w:val="24"/>
                <w:szCs w:val="24"/>
              </w:rPr>
              <w:t xml:space="preserve"> из-за сокращения их количества</w:t>
            </w:r>
            <w:r>
              <w:rPr>
                <w:sz w:val="24"/>
                <w:szCs w:val="24"/>
              </w:rPr>
              <w:t xml:space="preserve">. Однако</w:t>
            </w:r>
            <w:r>
              <w:rPr>
                <w:sz w:val="24"/>
                <w:szCs w:val="24"/>
              </w:rPr>
              <w:t xml:space="preserve"> численность работников предприятий, не входящих в группу малого и среднего предпринимательства, увеличилась на 0,6 процента, что способствовало сокращению  доли среднесписочной численности работников (без внешних совместителей) малых и средних предприятий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розничной торговли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2614</w:t>
            </w:r>
            <w:r>
              <w:rPr>
                <w:sz w:val="24"/>
                <w:szCs w:val="24"/>
              </w:rPr>
              <w:t xml:space="preserve">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2568,1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59"/>
              <w:ind w:firstLine="680"/>
              <w:jc w:val="both"/>
              <w:rPr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Оборот розничной торговли за 2024 год вырос на 10,8 процента или 249,4 млн. рублей к уровню прошлого года и составил 2568,1 млн. рублей.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Темпы роста розничного оборота в отчетном году выше общероссийского (7,2 процента)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Style w:val="90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90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3,6 процента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Существующий темп роста розничной торговли не достаточен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(-1,8 процента).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продукции сельского хозяйства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4819,2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продукции сельского хозяйства в 2024 году составил 6121,0 млн. рублей, что на 384,2 млн. рублей больше показателя 2023 года и на 1301,8 млн. рублей целевого показателя Стратегии.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протяжении последних 3-х лет отмечается </w:t>
            </w:r>
            <w:r>
              <w:rPr>
                <w:sz w:val="24"/>
                <w:szCs w:val="24"/>
              </w:rPr>
              <w:t xml:space="preserve">стабильная </w:t>
            </w:r>
            <w:r>
              <w:rPr>
                <w:sz w:val="24"/>
                <w:szCs w:val="24"/>
              </w:rPr>
              <w:t xml:space="preserve">положительная динамика по показателю «Доля протя</w:t>
            </w:r>
            <w:r>
              <w:rPr>
                <w:sz w:val="24"/>
                <w:szCs w:val="24"/>
              </w:rPr>
              <w:t xml:space="preserve">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значения». Сокращение доли дорог, не отвечающих нормативным требованиям составил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2,7 процентных пункта. Сокращение к уровню 2023 года –1,6 процентных пункта, к целевому показателю-0,1 процентный пункт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firstLine="709"/>
              <w:jc w:val="both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меющаяся дорожная сеть обес</w:t>
            </w:r>
            <w:r>
              <w:rPr>
                <w:sz w:val="24"/>
                <w:szCs w:val="24"/>
              </w:rPr>
              <w:t xml:space="preserve">печивает возможность автомобильного сообщения по дорогам с твердым покрытием между центром округа и 23 населенными пунктами (а. Бияш не имеет круглогодичной связи с сетью автомобильных дорог общего пользования по автомобильным дорогам с твердым покрытием).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2024 году в рамках государственной программы «Развитие транспортной системы» выполнены работы по ремонту 6 участков автомобильных дорог протяженностью 5,28 км на сумму 71,6 млн. рублей. За счет средств бюджета Нефтекумского муниципального округа Став</w:t>
            </w:r>
            <w:r>
              <w:rPr>
                <w:sz w:val="24"/>
                <w:szCs w:val="24"/>
                <w:shd w:val="clear" w:color="auto" w:fill="ffffff"/>
              </w:rPr>
              <w:t xml:space="preserve">ропольского края выполнены работы по ремонту в гравийном исполнении автомобильных дорог местного значения в 7 микрорайоне г. Нефтекумск (5 улиц) и ул. А. Шилиной. Проведен ямочный ремонт асфальтобетонного покрытия автомобильных дорог на площади 3018 кв. м.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р</w:t>
            </w:r>
            <w:r>
              <w:rPr>
                <w:sz w:val="24"/>
                <w:szCs w:val="24"/>
                <w:shd w:val="clear" w:color="auto" w:fill="ffffff"/>
              </w:rPr>
              <w:t xml:space="preserve">амках государственной программы «Комплексное развитие сельских территорий» в отчетном году выполнено строительство объекта «Подъездная автодорога от автотрассы Нефтекумск-Ачикулак до площадки откорма овец» протяженностью 863 м. стоимостью 38,5 млн. рублей.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«Доля населения, проживающего в населенны</w:t>
            </w:r>
            <w:r>
              <w:rPr>
                <w:sz w:val="24"/>
                <w:szCs w:val="24"/>
              </w:rPr>
              <w:t xml:space="preserve">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округа» на протяжении 3-х лет не изменяется и находится на уровне 2,8 процента.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Проблемой, сдерживающей развитие пассажирского транспорта общего пользования в труднодоступных и отдаленных населенных пунктах округа, является нерентабельность осуществления пассажирских перевозок из-за низкого и нестабильного пассажиропотока.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состоянию на конец 2024 года на территории округа установлено 7 муниципальных маршрутов общественного транспорта. Общая численность населения округа, охваченная автомобильным сообщением по муниципальным маршрутам общественного транспорта, составляет </w:t>
            </w:r>
            <w:r>
              <w:rPr>
                <w:sz w:val="24"/>
                <w:szCs w:val="24"/>
              </w:rPr>
              <w:t xml:space="preserve">около</w:t>
            </w:r>
            <w:r>
              <w:rPr>
                <w:sz w:val="24"/>
                <w:szCs w:val="24"/>
              </w:rPr>
              <w:t xml:space="preserve"> 87,0 процентов.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Министерством дорожного хозяйства и транспорта Ставропольского края округу переданы 5 автобусов </w:t>
            </w:r>
            <w:r>
              <w:rPr>
                <w:sz w:val="24"/>
                <w:szCs w:val="24"/>
                <w:lang w:val="en-US"/>
              </w:rPr>
              <w:t xml:space="preserve">GAZell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NEXT</w:t>
            </w:r>
            <w:r>
              <w:rPr>
                <w:sz w:val="24"/>
                <w:szCs w:val="24"/>
              </w:rPr>
              <w:t xml:space="preserve">. Для транспортного обслуживания населения с использованием полученных автобусов проведена работа по передаче пассажирского транспорта в аренду автотранспортному предприятию для работы на му</w:t>
            </w:r>
            <w:r>
              <w:rPr>
                <w:sz w:val="24"/>
                <w:szCs w:val="24"/>
              </w:rPr>
              <w:t xml:space="preserve">ниципальных маршрутах, однако заявок на участие в торгах не поступило, транспортные средства в аренду не переданы. В настоящее время ведутся работы по организации перевозок по муниципальным маршрутам путем создания муниципального учреждения в данной сфере.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жилых помещений, приходящаяся в среднем на 1 жителя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70"/>
              <w:ind w:firstLine="709"/>
              <w:jc w:val="both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жилых помещений в среднем на одного жителя в 2024 году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21,2 м², темп роста 2023/2024 гг. – 101,9 процента.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Объемы жилищного строительства в округе выросли на 45,3 процента, с 17,2 тыс. кв. м в 2023 году до 25,0 тыс. кв. м в 2024 году.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целевого значения показатель отстает на 2,2 кв. м в среднем на 1 жителя.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4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Во исполнение национальной </w:t>
            </w:r>
            <w:r>
              <w:rPr>
                <w:sz w:val="24"/>
                <w:szCs w:val="24"/>
              </w:rPr>
              <w:t xml:space="preserve">цели «Комфортная и безопасная среда для жизни» по обеспечению граждан жильем общей площадью не менее 33 кв. м на человека к 2030 году и не менее 38 кв. м к 2036 году, обновлению к 2030 году жилищного фонда не менее чем на 20,0 процентов по сравнению с пока</w:t>
            </w:r>
            <w:r>
              <w:rPr>
                <w:sz w:val="24"/>
                <w:szCs w:val="24"/>
              </w:rPr>
              <w:t xml:space="preserve">зателем 2019 года, устойчивому сокращению непригодного для проживания жилищного фонда, предусмотренных Указом № 309 округ планирует увеличить жилищный фонд к 2025 году на 0,4 процента (+4,7 тыс. кв. м) в сравнении с 2023 годом, к 2036 году на 0,9 процента </w:t>
            </w:r>
            <w:r>
              <w:rPr>
                <w:sz w:val="24"/>
                <w:szCs w:val="24"/>
              </w:rPr>
              <w:t xml:space="preserve">(+11.9 тыс. кв. м), п</w:t>
            </w:r>
            <w:r>
              <w:rPr>
                <w:sz w:val="24"/>
                <w:szCs w:val="24"/>
              </w:rPr>
              <w:t xml:space="preserve">утем возведения многоквартирных домов застройщиками 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ООО «ЭкспертСтрой», ПЖСК «Искра -44».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в действие жилых домов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сфере жилищного строительства за 2024 год введено в эксплуатацию 24,5 тыс. кв. м, что на </w:t>
            </w:r>
            <w:r>
              <w:rPr>
                <w:sz w:val="24"/>
                <w:szCs w:val="24"/>
                <w:shd w:val="clear" w:color="auto" w:fill="ffffff"/>
              </w:rPr>
              <w:t xml:space="preserve">40,0</w:t>
            </w:r>
            <w:r>
              <w:rPr>
                <w:sz w:val="24"/>
                <w:szCs w:val="24"/>
                <w:shd w:val="clear" w:color="auto" w:fill="ffffff"/>
              </w:rPr>
              <w:t xml:space="preserve"> процент</w:t>
            </w:r>
            <w:r>
              <w:rPr>
                <w:sz w:val="24"/>
                <w:szCs w:val="24"/>
                <w:shd w:val="clear" w:color="auto" w:fill="ffffff"/>
              </w:rPr>
              <w:t xml:space="preserve">ов</w:t>
            </w:r>
            <w:r>
              <w:rPr>
                <w:sz w:val="24"/>
                <w:szCs w:val="24"/>
                <w:shd w:val="clear" w:color="auto" w:fill="ffffff"/>
              </w:rPr>
              <w:t xml:space="preserve"> или 7,3 тыс. кв. м больше прошлого года. Выдано 36 разрешений на строительство, из них одно- на строительство многоквартирного дома. </w:t>
            </w:r>
            <w:r>
              <w:rPr>
                <w:sz w:val="24"/>
                <w:szCs w:val="24"/>
                <w:shd w:val="clear" w:color="auto" w:fill="ffffff"/>
              </w:rPr>
              <w:t xml:space="preserve">Целевое значение показателя Стратегии выполнено на 106,5 процента.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Наполнение государственной информационной системы обеспечения градостроительной деятельности Ставропольского края сведениями, документами, материалами в сфере градостроительной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29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4643" w:type="dxa"/>
            <w:vAlign w:val="top"/>
            <w:textDirection w:val="lrTb"/>
            <w:noWrap w:val="false"/>
          </w:tcPr>
          <w:p>
            <w:pPr>
              <w:pStyle w:val="845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значение показателя соответствует целевому значению показателя Стратегии.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851" w:bottom="567" w:left="1276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center"/>
        <w:spacing w:line="240" w:lineRule="exact"/>
        <w:tabs>
          <w:tab w:val="left" w:pos="567" w:leader="none"/>
        </w:tabs>
        <w:rPr>
          <w:rFonts w:ascii="Times New Roman" w:hAnsi="Times New Roman"/>
          <w:b w:val="0"/>
          <w:i w:val="0"/>
          <w:caps/>
          <w:sz w:val="28"/>
          <w:szCs w:val="28"/>
        </w:rPr>
      </w:pPr>
      <w:r>
        <w:rPr>
          <w:rFonts w:ascii="Times New Roman" w:hAnsi="Times New Roman"/>
          <w:b w:val="0"/>
          <w:i w:val="0"/>
          <w:caps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 w:val="0"/>
          <w:i w:val="0"/>
          <w:caps/>
          <w:sz w:val="28"/>
          <w:szCs w:val="28"/>
        </w:rPr>
      </w:r>
      <w:r>
        <w:rPr>
          <w:rFonts w:ascii="Times New Roman" w:hAnsi="Times New Roman"/>
          <w:b w:val="0"/>
          <w:i w:val="0"/>
          <w:caps/>
          <w:sz w:val="28"/>
          <w:szCs w:val="28"/>
        </w:rPr>
      </w:r>
    </w:p>
    <w:p>
      <w:pPr>
        <w:pStyle w:val="8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</w:t>
      </w:r>
      <w:r>
        <w:rPr>
          <w:sz w:val="28"/>
          <w:szCs w:val="28"/>
        </w:rPr>
        <w:t xml:space="preserve">Нефтекумского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«О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Думы Нефтекумского городского округа Ставропольского края от 12 декабря 2019 года № 406,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left="0"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 октября 2003 года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утвержденного решением Думы Нефтекумского городского округа Ставропольского края от 15 августа 2023 года № 129,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 </w:t>
      </w:r>
      <w:r>
        <w:rPr>
          <w:sz w:val="28"/>
          <w:szCs w:val="28"/>
        </w:rPr>
        <w:t xml:space="preserve">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составлен на основании </w:t>
      </w:r>
      <w:r>
        <w:rPr>
          <w:sz w:val="28"/>
          <w:szCs w:val="28"/>
        </w:rPr>
        <w:t xml:space="preserve"> предварительных</w:t>
      </w:r>
      <w:r>
        <w:rPr>
          <w:sz w:val="28"/>
          <w:szCs w:val="28"/>
        </w:rPr>
        <w:t xml:space="preserve"> (расчетных)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отчетных </w:t>
      </w:r>
      <w:r>
        <w:rPr>
          <w:sz w:val="28"/>
          <w:szCs w:val="28"/>
        </w:rPr>
        <w:t xml:space="preserve">и статистических </w:t>
      </w:r>
      <w:r>
        <w:rPr>
          <w:sz w:val="28"/>
          <w:szCs w:val="28"/>
        </w:rPr>
        <w:t xml:space="preserve">данных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остижени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стратегических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целей развития Нефтекумского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приведено в приложении к Отчету.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решения не требует внесения изменений в действующие нормативно-правовые акты Нефтекумского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Положения проекта решения соответствуют Конституции Российской Федерации, Бюджетному кодексу Российской Федерации, федеральным законам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Уставу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и не содержат </w:t>
      </w:r>
      <w:r>
        <w:rPr>
          <w:sz w:val="28"/>
          <w:szCs w:val="28"/>
        </w:rPr>
        <w:t xml:space="preserve">коррупциогенных факторов.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ind w:firstLine="56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Д.Н. Сокуренко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3020203020204"/>
  </w:font>
  <w:font w:name="Verdana">
    <w:panose1 w:val="020B0606030504020204"/>
  </w:font>
  <w:font w:name="Constantia">
    <w:panose1 w:val="02020603050405020304"/>
  </w:font>
  <w:font w:name="Courier New">
    <w:panose1 w:val="02070409020205020404"/>
  </w:font>
  <w:font w:name="Times New Roman">
    <w:panose1 w:val="02020603050405020304"/>
  </w:font>
  <w:font w:name="Consultant">
    <w:panose1 w:val="020206030504050203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8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36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5"/>
    <w:next w:val="84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5"/>
    <w:next w:val="845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5"/>
    <w:next w:val="845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5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link w:val="695"/>
    <w:uiPriority w:val="99"/>
  </w:style>
  <w:style w:type="paragraph" w:styleId="697">
    <w:name w:val="Footer"/>
    <w:basedOn w:val="84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link w:val="697"/>
    <w:uiPriority w:val="99"/>
  </w:style>
  <w:style w:type="paragraph" w:styleId="699">
    <w:name w:val="Caption"/>
    <w:basedOn w:val="845"/>
    <w:next w:val="845"/>
    <w:link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link w:val="699"/>
    <w:uiPriority w:val="35"/>
    <w:rPr>
      <w:b/>
      <w:bCs/>
      <w:color w:val="4f81bd" w:themeColor="accent1"/>
      <w:sz w:val="18"/>
      <w:szCs w:val="18"/>
    </w:rPr>
  </w:style>
  <w:style w:type="table" w:styleId="7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next w:val="845"/>
    <w:link w:val="845"/>
    <w:qFormat/>
    <w:rPr>
      <w:lang w:val="ru-RU" w:eastAsia="ru-RU" w:bidi="ar-SA"/>
    </w:rPr>
  </w:style>
  <w:style w:type="paragraph" w:styleId="846">
    <w:name w:val="Заголовок 2"/>
    <w:basedOn w:val="845"/>
    <w:next w:val="845"/>
    <w:link w:val="885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847">
    <w:name w:val="Заголовок 5"/>
    <w:basedOn w:val="845"/>
    <w:next w:val="845"/>
    <w:link w:val="877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848">
    <w:name w:val="Заголовок 9"/>
    <w:basedOn w:val="845"/>
    <w:next w:val="845"/>
    <w:link w:val="845"/>
    <w:qFormat/>
    <w:pPr>
      <w:ind w:right="549"/>
      <w:keepNext/>
      <w:outlineLvl w:val="8"/>
    </w:pPr>
    <w:rPr>
      <w:rFonts w:eastAsia="Arial Unicode MS"/>
      <w:sz w:val="28"/>
    </w:rPr>
  </w:style>
  <w:style w:type="character" w:styleId="849">
    <w:name w:val="Основной шрифт абзаца"/>
    <w:next w:val="849"/>
    <w:link w:val="845"/>
    <w:semiHidden/>
  </w:style>
  <w:style w:type="table" w:styleId="850">
    <w:name w:val="Обычная таблица"/>
    <w:next w:val="850"/>
    <w:link w:val="845"/>
    <w:semiHidden/>
    <w:tblPr/>
  </w:style>
  <w:style w:type="numbering" w:styleId="851">
    <w:name w:val="Нет списка"/>
    <w:next w:val="851"/>
    <w:link w:val="845"/>
    <w:semiHidden/>
  </w:style>
  <w:style w:type="paragraph" w:styleId="852">
    <w:name w:val="ConsPlusTitle"/>
    <w:next w:val="852"/>
    <w:link w:val="845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853">
    <w:name w:val="Основной текст"/>
    <w:basedOn w:val="845"/>
    <w:next w:val="853"/>
    <w:link w:val="845"/>
    <w:pPr>
      <w:jc w:val="both"/>
    </w:pPr>
    <w:rPr>
      <w:sz w:val="24"/>
    </w:rPr>
  </w:style>
  <w:style w:type="paragraph" w:styleId="854">
    <w:name w:val="ConsNormal"/>
    <w:next w:val="854"/>
    <w:link w:val="845"/>
    <w:pPr>
      <w:ind w:firstLine="720"/>
    </w:pPr>
    <w:rPr>
      <w:rFonts w:ascii="Consultant" w:hAnsi="Consultant"/>
      <w:lang w:val="ru-RU" w:eastAsia="ru-RU" w:bidi="ar-SA"/>
    </w:rPr>
  </w:style>
  <w:style w:type="paragraph" w:styleId="855">
    <w:name w:val="ConsTitle"/>
    <w:next w:val="855"/>
    <w:link w:val="845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856">
    <w:name w:val="Сетка таблицы"/>
    <w:basedOn w:val="850"/>
    <w:next w:val="856"/>
    <w:link w:val="845"/>
    <w:uiPriority w:val="59"/>
    <w:tblPr/>
  </w:style>
  <w:style w:type="paragraph" w:styleId="857">
    <w:name w:val="Основной текст с отступом"/>
    <w:basedOn w:val="845"/>
    <w:next w:val="857"/>
    <w:link w:val="858"/>
    <w:pPr>
      <w:ind w:left="283"/>
      <w:spacing w:after="120"/>
    </w:pPr>
  </w:style>
  <w:style w:type="character" w:styleId="858">
    <w:name w:val="Основной текст с отступом Знак"/>
    <w:basedOn w:val="849"/>
    <w:next w:val="858"/>
    <w:link w:val="857"/>
  </w:style>
  <w:style w:type="paragraph" w:styleId="859">
    <w:name w:val="ConsPlusNormal"/>
    <w:next w:val="859"/>
    <w:link w:val="90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0">
    <w:name w:val="Верхний колонтитул"/>
    <w:basedOn w:val="845"/>
    <w:next w:val="860"/>
    <w:link w:val="861"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basedOn w:val="849"/>
    <w:next w:val="861"/>
    <w:link w:val="860"/>
  </w:style>
  <w:style w:type="paragraph" w:styleId="862">
    <w:name w:val="Нижний колонтитул"/>
    <w:basedOn w:val="845"/>
    <w:next w:val="862"/>
    <w:link w:val="863"/>
    <w:pPr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basedOn w:val="849"/>
    <w:next w:val="863"/>
    <w:link w:val="862"/>
  </w:style>
  <w:style w:type="paragraph" w:styleId="864">
    <w:name w:val="Normal1"/>
    <w:next w:val="864"/>
    <w:link w:val="845"/>
    <w:pPr>
      <w:ind w:firstLine="760"/>
      <w:spacing w:line="300" w:lineRule="auto"/>
      <w:widowControl w:val="off"/>
    </w:pPr>
    <w:rPr>
      <w:rFonts w:ascii="Arial" w:hAnsi="Arial"/>
      <w:sz w:val="28"/>
      <w:lang w:val="ru-RU" w:eastAsia="ru-RU" w:bidi="ar-SA"/>
    </w:rPr>
  </w:style>
  <w:style w:type="character" w:styleId="865">
    <w:name w:val=" Знак Знак7"/>
    <w:next w:val="865"/>
    <w:link w:val="845"/>
    <w:rPr>
      <w:sz w:val="24"/>
      <w:szCs w:val="24"/>
    </w:rPr>
  </w:style>
  <w:style w:type="paragraph" w:styleId="866">
    <w:name w:val="ConsPlusNonformat"/>
    <w:next w:val="866"/>
    <w:link w:val="84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67">
    <w:name w:val="Основной текст с отступом 2"/>
    <w:basedOn w:val="845"/>
    <w:next w:val="867"/>
    <w:link w:val="871"/>
    <w:pPr>
      <w:ind w:left="283"/>
      <w:spacing w:after="120" w:line="480" w:lineRule="auto"/>
    </w:pPr>
    <w:rPr>
      <w:sz w:val="24"/>
      <w:szCs w:val="24"/>
      <w:lang w:val="en-US" w:eastAsia="en-US"/>
    </w:rPr>
  </w:style>
  <w:style w:type="paragraph" w:styleId="868">
    <w:name w:val="Default"/>
    <w:next w:val="868"/>
    <w:link w:val="845"/>
    <w:rPr>
      <w:color w:val="000000"/>
      <w:sz w:val="24"/>
      <w:szCs w:val="24"/>
      <w:lang w:val="ru-RU" w:eastAsia="ru-RU" w:bidi="ar-SA"/>
    </w:rPr>
  </w:style>
  <w:style w:type="paragraph" w:styleId="869">
    <w:name w:val="ConsPlusCell"/>
    <w:next w:val="869"/>
    <w:link w:val="845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870">
    <w:name w:val="Обычный (веб)"/>
    <w:basedOn w:val="845"/>
    <w:next w:val="870"/>
    <w:link w:val="845"/>
    <w:uiPriority w:val="99"/>
    <w:pPr>
      <w:spacing w:before="100" w:beforeAutospacing="1" w:after="100" w:afterAutospacing="1"/>
    </w:pPr>
    <w:rPr>
      <w:rFonts w:ascii="Arial" w:hAnsi="Arial" w:cs="Arial"/>
      <w:color w:val="660000"/>
    </w:rPr>
  </w:style>
  <w:style w:type="character" w:styleId="871">
    <w:name w:val="Основной текст с отступом 2 Знак"/>
    <w:next w:val="871"/>
    <w:link w:val="867"/>
    <w:rPr>
      <w:sz w:val="24"/>
      <w:szCs w:val="24"/>
    </w:rPr>
  </w:style>
  <w:style w:type="paragraph" w:styleId="872">
    <w:name w:val="Style7"/>
    <w:basedOn w:val="845"/>
    <w:next w:val="872"/>
    <w:link w:val="845"/>
    <w:pPr>
      <w:jc w:val="both"/>
      <w:spacing w:line="274" w:lineRule="exact"/>
      <w:widowControl w:val="off"/>
    </w:pPr>
    <w:rPr>
      <w:sz w:val="24"/>
      <w:szCs w:val="24"/>
    </w:rPr>
  </w:style>
  <w:style w:type="character" w:styleId="873">
    <w:name w:val="Font Style54"/>
    <w:next w:val="873"/>
    <w:link w:val="845"/>
    <w:rPr>
      <w:rFonts w:ascii="Times New Roman" w:hAnsi="Times New Roman" w:cs="Times New Roman"/>
      <w:spacing w:val="-10"/>
      <w:sz w:val="32"/>
      <w:szCs w:val="32"/>
    </w:rPr>
  </w:style>
  <w:style w:type="character" w:styleId="874">
    <w:name w:val="Font Style61"/>
    <w:next w:val="874"/>
    <w:link w:val="845"/>
    <w:rPr>
      <w:rFonts w:ascii="Times New Roman" w:hAnsi="Times New Roman" w:cs="Times New Roman"/>
      <w:b/>
      <w:bCs/>
      <w:sz w:val="20"/>
      <w:szCs w:val="20"/>
    </w:rPr>
  </w:style>
  <w:style w:type="character" w:styleId="875">
    <w:name w:val="Font Style63"/>
    <w:next w:val="875"/>
    <w:link w:val="845"/>
    <w:rPr>
      <w:rFonts w:ascii="Constantia" w:hAnsi="Constantia" w:cs="Constantia"/>
      <w:b/>
      <w:bCs/>
      <w:sz w:val="20"/>
      <w:szCs w:val="20"/>
    </w:rPr>
  </w:style>
  <w:style w:type="character" w:styleId="876">
    <w:name w:val="Font Style74"/>
    <w:next w:val="876"/>
    <w:link w:val="845"/>
    <w:rPr>
      <w:rFonts w:ascii="Times New Roman" w:hAnsi="Times New Roman" w:cs="Times New Roman"/>
      <w:sz w:val="24"/>
      <w:szCs w:val="24"/>
    </w:rPr>
  </w:style>
  <w:style w:type="character" w:styleId="877">
    <w:name w:val="Заголовок 5 Знак"/>
    <w:next w:val="877"/>
    <w:link w:val="847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78">
    <w:name w:val="Основной текст 3"/>
    <w:basedOn w:val="845"/>
    <w:next w:val="878"/>
    <w:link w:val="879"/>
    <w:pPr>
      <w:spacing w:after="120"/>
    </w:pPr>
    <w:rPr>
      <w:sz w:val="16"/>
      <w:szCs w:val="16"/>
      <w:lang w:val="en-US" w:eastAsia="en-US"/>
    </w:rPr>
  </w:style>
  <w:style w:type="character" w:styleId="879">
    <w:name w:val="Основной текст 3 Знак"/>
    <w:next w:val="879"/>
    <w:link w:val="878"/>
    <w:rPr>
      <w:sz w:val="16"/>
      <w:szCs w:val="16"/>
      <w:lang w:val="en-US"/>
    </w:rPr>
  </w:style>
  <w:style w:type="paragraph" w:styleId="880">
    <w:name w:val="Основной текст 2"/>
    <w:basedOn w:val="845"/>
    <w:next w:val="880"/>
    <w:link w:val="881"/>
    <w:pPr>
      <w:spacing w:after="120" w:line="480" w:lineRule="auto"/>
    </w:pPr>
    <w:rPr>
      <w:sz w:val="24"/>
      <w:szCs w:val="24"/>
      <w:lang w:val="en-US" w:eastAsia="en-US"/>
    </w:rPr>
  </w:style>
  <w:style w:type="character" w:styleId="881">
    <w:name w:val="Основной текст 2 Знак"/>
    <w:next w:val="881"/>
    <w:link w:val="880"/>
    <w:rPr>
      <w:sz w:val="24"/>
      <w:szCs w:val="24"/>
      <w:lang w:val="en-US"/>
    </w:rPr>
  </w:style>
  <w:style w:type="paragraph" w:styleId="882">
    <w:name w:val="Название"/>
    <w:basedOn w:val="845"/>
    <w:next w:val="882"/>
    <w:link w:val="883"/>
    <w:qFormat/>
    <w:pPr>
      <w:jc w:val="both"/>
    </w:pPr>
    <w:rPr>
      <w:sz w:val="28"/>
      <w:lang w:val="en-US" w:eastAsia="en-US"/>
    </w:rPr>
  </w:style>
  <w:style w:type="character" w:styleId="883">
    <w:name w:val="Название Знак"/>
    <w:next w:val="883"/>
    <w:link w:val="882"/>
    <w:rPr>
      <w:sz w:val="28"/>
    </w:rPr>
  </w:style>
  <w:style w:type="character" w:styleId="884">
    <w:name w:val="apple-converted-space"/>
    <w:next w:val="884"/>
    <w:link w:val="845"/>
  </w:style>
  <w:style w:type="character" w:styleId="885">
    <w:name w:val="Заголовок 2 Знак"/>
    <w:next w:val="885"/>
    <w:link w:val="846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6">
    <w:name w:val="[ ]"/>
    <w:next w:val="886"/>
    <w:link w:val="845"/>
    <w:pPr>
      <w:spacing w:line="288" w:lineRule="auto"/>
    </w:pPr>
    <w:rPr>
      <w:color w:val="000000"/>
      <w:sz w:val="24"/>
      <w:szCs w:val="24"/>
      <w:lang w:val="ru-RU" w:eastAsia="ru-RU" w:bidi="ar-SA"/>
    </w:rPr>
  </w:style>
  <w:style w:type="paragraph" w:styleId="887">
    <w:name w:val="Основной текст 31"/>
    <w:basedOn w:val="845"/>
    <w:next w:val="887"/>
    <w:link w:val="845"/>
    <w:pPr>
      <w:jc w:val="center"/>
    </w:pPr>
    <w:rPr>
      <w:sz w:val="28"/>
      <w:szCs w:val="24"/>
      <w:lang w:eastAsia="ar-SA"/>
    </w:rPr>
  </w:style>
  <w:style w:type="paragraph" w:styleId="888">
    <w:name w:val="Без интервала"/>
    <w:next w:val="888"/>
    <w:link w:val="899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89">
    <w:name w:val="Абзац списка"/>
    <w:basedOn w:val="845"/>
    <w:next w:val="889"/>
    <w:link w:val="84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90">
    <w:name w:val="Основной текст_"/>
    <w:next w:val="890"/>
    <w:link w:val="891"/>
    <w:rPr>
      <w:sz w:val="19"/>
      <w:szCs w:val="19"/>
      <w:shd w:val="clear" w:color="auto" w:fill="ffffff"/>
    </w:rPr>
  </w:style>
  <w:style w:type="paragraph" w:styleId="891">
    <w:name w:val="Основной текст2"/>
    <w:basedOn w:val="845"/>
    <w:next w:val="891"/>
    <w:link w:val="890"/>
    <w:pPr>
      <w:jc w:val="both"/>
      <w:spacing w:before="240" w:after="480" w:line="240" w:lineRule="atLeast"/>
      <w:shd w:val="clear" w:color="auto" w:fill="ffffff"/>
      <w:widowControl w:val="off"/>
    </w:pPr>
    <w:rPr>
      <w:sz w:val="19"/>
      <w:szCs w:val="19"/>
      <w:lang w:val="en-US" w:eastAsia="en-US"/>
    </w:rPr>
  </w:style>
  <w:style w:type="character" w:styleId="892">
    <w:name w:val="Основной текст1"/>
    <w:next w:val="892"/>
    <w:link w:val="845"/>
    <w:rPr>
      <w:color w:val="000000"/>
      <w:spacing w:val="0"/>
      <w:position w:val="0"/>
      <w:sz w:val="19"/>
      <w:szCs w:val="19"/>
      <w:shd w:val="clear" w:color="auto" w:fill="ffffff"/>
      <w:lang w:val="ru-RU"/>
    </w:rPr>
  </w:style>
  <w:style w:type="paragraph" w:styleId="893">
    <w:name w:val="Body Text 21"/>
    <w:basedOn w:val="845"/>
    <w:next w:val="893"/>
    <w:link w:val="845"/>
    <w:pPr>
      <w:jc w:val="center"/>
      <w:widowControl w:val="off"/>
    </w:pPr>
    <w:rPr>
      <w:sz w:val="28"/>
    </w:rPr>
  </w:style>
  <w:style w:type="paragraph" w:styleId="894">
    <w:name w:val="Без интервала2"/>
    <w:next w:val="894"/>
    <w:link w:val="845"/>
    <w:rPr>
      <w:sz w:val="28"/>
      <w:szCs w:val="28"/>
      <w:lang w:val="ru-RU" w:eastAsia="en-US" w:bidi="ar-SA"/>
    </w:rPr>
  </w:style>
  <w:style w:type="paragraph" w:styleId="895">
    <w:name w:val="Без интервала1"/>
    <w:next w:val="895"/>
    <w:link w:val="845"/>
    <w:rPr>
      <w:rFonts w:ascii="Calibri" w:hAnsi="Calibri"/>
      <w:sz w:val="22"/>
      <w:szCs w:val="22"/>
      <w:lang w:val="ru-RU" w:eastAsia="en-US" w:bidi="ar-SA"/>
    </w:rPr>
  </w:style>
  <w:style w:type="character" w:styleId="896">
    <w:name w:val="Гиперссылка"/>
    <w:next w:val="896"/>
    <w:link w:val="845"/>
    <w:uiPriority w:val="99"/>
    <w:rPr>
      <w:color w:val="0000ff"/>
      <w:u w:val="single"/>
    </w:rPr>
  </w:style>
  <w:style w:type="character" w:styleId="897">
    <w:name w:val="Цитата HTML"/>
    <w:next w:val="897"/>
    <w:link w:val="845"/>
    <w:uiPriority w:val="99"/>
    <w:unhideWhenUsed/>
    <w:rPr>
      <w:i/>
      <w:iCs/>
    </w:rPr>
  </w:style>
  <w:style w:type="paragraph" w:styleId="898">
    <w:name w:val="Знак Знак Знак Знак"/>
    <w:basedOn w:val="845"/>
    <w:next w:val="845"/>
    <w:link w:val="845"/>
    <w:pPr>
      <w:ind w:firstLine="567"/>
      <w:jc w:val="both"/>
      <w:spacing w:after="160" w:line="240" w:lineRule="exact"/>
    </w:pPr>
    <w:rPr>
      <w:rFonts w:ascii="Verdana" w:hAnsi="Verdana" w:cs="Verdana"/>
      <w:lang w:val="en-US" w:eastAsia="en-US"/>
    </w:rPr>
  </w:style>
  <w:style w:type="character" w:styleId="899">
    <w:name w:val="Без интервала Знак"/>
    <w:next w:val="899"/>
    <w:link w:val="888"/>
    <w:uiPriority w:val="1"/>
    <w:rPr>
      <w:rFonts w:ascii="Calibri" w:hAnsi="Calibri"/>
      <w:sz w:val="22"/>
      <w:szCs w:val="22"/>
      <w:lang w:val="ru-RU" w:eastAsia="ru-RU" w:bidi="ar-SA"/>
    </w:rPr>
  </w:style>
  <w:style w:type="paragraph" w:styleId="900">
    <w:name w:val="Текст выноски"/>
    <w:basedOn w:val="845"/>
    <w:next w:val="900"/>
    <w:link w:val="901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rPr>
      <w:rFonts w:ascii="Segoe UI" w:hAnsi="Segoe UI" w:cs="Segoe UI"/>
      <w:sz w:val="18"/>
      <w:szCs w:val="18"/>
    </w:rPr>
  </w:style>
  <w:style w:type="character" w:styleId="902">
    <w:name w:val="Строгий"/>
    <w:next w:val="902"/>
    <w:link w:val="845"/>
    <w:uiPriority w:val="22"/>
    <w:qFormat/>
    <w:rPr>
      <w:b/>
      <w:bCs/>
    </w:rPr>
  </w:style>
  <w:style w:type="character" w:styleId="903">
    <w:name w:val="ConsPlusNormal Знак"/>
    <w:next w:val="903"/>
    <w:link w:val="859"/>
    <w:rPr>
      <w:rFonts w:ascii="Arial" w:hAnsi="Arial" w:cs="Arial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Админ</dc:creator>
  <cp:lastModifiedBy>hramchenko</cp:lastModifiedBy>
  <cp:revision>35</cp:revision>
  <dcterms:created xsi:type="dcterms:W3CDTF">2025-04-16T11:25:00Z</dcterms:created>
  <dcterms:modified xsi:type="dcterms:W3CDTF">2025-06-16T07:59:43Z</dcterms:modified>
  <cp:version>1048576</cp:version>
</cp:coreProperties>
</file>