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ind w:left="360" w:right="1" w:firstLine="490"/>
        <w:jc w:val="center"/>
        <w:spacing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СВЕДЕНИЯ 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60"/>
        <w:ind w:left="360" w:right="1" w:firstLine="490"/>
        <w:jc w:val="center"/>
        <w:spacing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 целях обеспечения возможности проведения независимой антикоррупционной экспертизы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60"/>
        <w:ind w:left="360" w:right="1" w:firstLine="490"/>
        <w:jc w:val="both"/>
        <w:spacing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60"/>
        <w:ind w:left="360" w:right="1" w:firstLine="490"/>
        <w:jc w:val="both"/>
        <w:spacing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И</w:t>
      </w:r>
      <w:r>
        <w:rPr>
          <w:b w:val="0"/>
          <w:bCs w:val="0"/>
          <w:sz w:val="24"/>
          <w:szCs w:val="24"/>
        </w:rPr>
        <w:t xml:space="preserve">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</w:t>
      </w:r>
      <w:r>
        <w:rPr>
          <w:b w:val="0"/>
          <w:bCs w:val="0"/>
          <w:sz w:val="24"/>
          <w:szCs w:val="24"/>
        </w:rPr>
        <w:t xml:space="preserve">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60"/>
        <w:ind w:left="360" w:right="1" w:firstLine="490"/>
        <w:jc w:val="both"/>
        <w:spacing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</w:t>
      </w:r>
      <w:r>
        <w:rPr>
          <w:b w:val="0"/>
          <w:bCs w:val="0"/>
          <w:sz w:val="24"/>
          <w:szCs w:val="24"/>
        </w:rPr>
        <w:t xml:space="preserve">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</w:t>
      </w:r>
      <w:r>
        <w:rPr>
          <w:b w:val="0"/>
          <w:bCs w:val="0"/>
          <w:sz w:val="24"/>
          <w:szCs w:val="24"/>
        </w:rPr>
        <w:t xml:space="preserve">х правовых актов, согласно методике, определенной Правительством Российской Федерации.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60"/>
        <w:ind w:left="360" w:right="1" w:firstLine="490"/>
        <w:jc w:val="both"/>
        <w:spacing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Адрес электронной почты в информационно-телекоммуникационной сети "Интернет" для направления заключений в электронном виде: snmr05@mail.ru.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60"/>
        <w:ind w:left="360" w:right="1" w:firstLine="490"/>
        <w:jc w:val="both"/>
        <w:spacing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Дата начала приема заключений по результатам проведения независимой антикоррупционной экспертизы: 11.06.2025 год. 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60"/>
        <w:ind w:left="360" w:right="1" w:firstLine="490"/>
        <w:jc w:val="both"/>
        <w:spacing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Дата окончания приема заключений по результатам проведения независимой антикоррупционной экспертизы: 16.06. 2025 год. 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60"/>
        <w:ind w:left="360" w:right="1"/>
        <w:jc w:val="center"/>
        <w:spacing w:after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7990" cy="495159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4516553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37989" cy="495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4.49pt;height:38.99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t xml:space="preserve">проект</w:t>
      </w:r>
      <w:r/>
    </w:p>
    <w:p>
      <w:pPr>
        <w:pStyle w:val="860"/>
        <w:ind w:left="0" w:right="1"/>
        <w:jc w:val="center"/>
        <w:spacing w:after="0"/>
      </w:pPr>
      <w:r>
        <w:t xml:space="preserve">ДУМА НЕФТЕКУМСКОГО </w:t>
      </w:r>
      <w:r>
        <w:t xml:space="preserve">МУНИЦИПАЛЬНОГО</w:t>
      </w:r>
      <w:r>
        <w:t xml:space="preserve"> ОКРУГА </w:t>
      </w:r>
      <w:r/>
    </w:p>
    <w:p>
      <w:pPr>
        <w:pStyle w:val="860"/>
        <w:ind w:left="0" w:right="1"/>
        <w:jc w:val="center"/>
        <w:spacing w:after="0"/>
      </w:pPr>
      <w:r>
        <w:t xml:space="preserve">СТАВРОПОЛЬСКОГО КРАЯ</w:t>
      </w:r>
      <w:r/>
    </w:p>
    <w:p>
      <w:pPr>
        <w:pStyle w:val="860"/>
        <w:ind w:left="0" w:right="1"/>
        <w:jc w:val="center"/>
        <w:spacing w:after="0"/>
      </w:pPr>
      <w:r>
        <w:t xml:space="preserve">ВТОРОГО</w:t>
      </w:r>
      <w:r>
        <w:t xml:space="preserve"> СОЗЫВА</w:t>
      </w:r>
      <w:r/>
    </w:p>
    <w:p>
      <w:pPr>
        <w:pStyle w:val="860"/>
        <w:ind w:left="0" w:right="1"/>
        <w:jc w:val="center"/>
        <w:spacing w:after="0"/>
        <w:rPr>
          <w:b w:val="0"/>
          <w:bCs w:val="0"/>
        </w:rPr>
      </w:pPr>
      <w:r>
        <w:rPr>
          <w:b w:val="0"/>
        </w:rPr>
      </w:r>
      <w:r>
        <w:rPr>
          <w:b w:val="0"/>
        </w:rPr>
      </w:r>
    </w:p>
    <w:p>
      <w:pPr>
        <w:pStyle w:val="860"/>
        <w:ind w:left="0" w:right="1"/>
        <w:jc w:val="center"/>
        <w:spacing w:after="0"/>
        <w:rPr>
          <w:lang w:val="ru-RU"/>
        </w:rPr>
      </w:pPr>
      <w:r>
        <w:t xml:space="preserve">РЕШЕНИЕ</w:t>
      </w:r>
      <w:r>
        <w:rPr>
          <w:lang w:val="ru-RU"/>
        </w:rPr>
      </w:r>
      <w:r>
        <w:rPr>
          <w:lang w:val="ru-RU"/>
        </w:rPr>
      </w:r>
    </w:p>
    <w:p>
      <w:pPr>
        <w:pStyle w:val="860"/>
        <w:ind w:left="0" w:right="1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г. Нефтекумск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ind w:left="360" w:right="1"/>
        <w:spacing w:after="0"/>
      </w:pPr>
      <w:r/>
      <w:r/>
    </w:p>
    <w:p>
      <w:pPr>
        <w:pStyle w:val="8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Думы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183 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инициативном бюджетировании в Нефтекумском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848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</w:t>
      </w:r>
      <w:r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Федеральным закон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от 20 марта</w:t>
      </w:r>
      <w:r>
        <w:rPr>
          <w:rFonts w:ascii="Times New Roman" w:hAnsi="Times New Roman"/>
          <w:sz w:val="28"/>
          <w:szCs w:val="28"/>
        </w:rPr>
        <w:t xml:space="preserve"> 2025 г.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№ 129,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ind w:firstLine="56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Дума Нефтекумского муниципального округа Ставропольского края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0"/>
        <w:ind w:left="0" w:firstLine="567"/>
        <w:jc w:val="both"/>
        <w:spacing w:after="0"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860"/>
        <w:ind w:left="0" w:firstLine="567"/>
        <w:jc w:val="both"/>
        <w:spacing w:after="0"/>
        <w:rPr>
          <w:color w:val="000000"/>
        </w:rPr>
      </w:pPr>
      <w:r>
        <w:t xml:space="preserve">РЕШИЛА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pStyle w:val="855"/>
        <w:ind w:firstLine="567"/>
        <w:jc w:val="both"/>
        <w:rPr>
          <w:rFonts w:ascii="Times New Roman" w:hAnsi="Times New Roman" w:cs="Times New Roman"/>
          <w:sz w:val="24"/>
          <w:szCs w:val="28"/>
        </w:rPr>
        <w:outlineLvl w:val="0"/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855"/>
        <w:ind w:firstLine="567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Статья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85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Думы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183 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инициативном бюджетировании в Нефтекумском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преамбуле слова «</w:t>
      </w:r>
      <w:r>
        <w:rPr>
          <w:rFonts w:ascii="Times New Roman" w:hAnsi="Times New Roman"/>
          <w:sz w:val="28"/>
          <w:szCs w:val="28"/>
        </w:rPr>
        <w:t xml:space="preserve">Федеральным закон</w:t>
      </w:r>
      <w:r>
        <w:rPr>
          <w:rFonts w:ascii="Times New Roman" w:hAnsi="Times New Roman"/>
          <w:sz w:val="28"/>
          <w:szCs w:val="28"/>
        </w:rPr>
        <w:t xml:space="preserve">ам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6 октября 2003 г. № 131</w:t>
      </w:r>
      <w:r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20 марта 2025 г.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</w:t>
      </w:r>
      <w:r>
        <w:rPr>
          <w:rFonts w:ascii="Times New Roman" w:hAnsi="Times New Roman" w:cs="Times New Roman"/>
          <w:sz w:val="28"/>
          <w:szCs w:val="28"/>
        </w:rPr>
        <w:t xml:space="preserve">Положени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об инициативном бюджетировании в Нефтекумском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в статье 1: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«Федеральным законам от 6 октября 2003 г. № 131-ФЗ «Об общих принципах организации местного самоуправления в Российской Федерации»»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20 марта 2025 г. № 33-ФЗ «Об общих принципах организации местного самоуправления в единой системе публичной власти»;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второй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четвертый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2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«инициативное бюджетирование – вовлечение жителей муниципального округа в решение вопросов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непосредственного обеспечения жизнедеятельности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или иных вопросов, право решения которых предоставлено органу местного самоупр</w:t>
      </w:r>
      <w:r>
        <w:rPr>
          <w:rFonts w:ascii="Times New Roman" w:hAnsi="Times New Roman" w:cs="Times New Roman"/>
          <w:sz w:val="28"/>
          <w:szCs w:val="28"/>
        </w:rPr>
        <w:t xml:space="preserve">авления муниципального округа;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инициативный проект – проект, выдвигаемый жителями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округа, органом территориального общественного самоуправления, старостой сельского населенного пункта, предусматривающий реализацию мероприятий, имеющих приоритетное значение для жителей муниципального округа или его части, по решению вопросов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непосредственного обеспечения жизнедеятельности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инициаторы проекта - инициативная группа численностью не менее 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 граждан, достигших </w:t>
      </w:r>
      <w:r>
        <w:rPr>
          <w:rFonts w:ascii="Times New Roman" w:hAnsi="Times New Roman"/>
          <w:sz w:val="28"/>
          <w:szCs w:val="28"/>
        </w:rPr>
        <w:t xml:space="preserve">восемнадцатилетнего</w:t>
      </w:r>
      <w:r>
        <w:rPr>
          <w:rFonts w:ascii="Times New Roman" w:hAnsi="Times New Roman"/>
          <w:sz w:val="28"/>
          <w:szCs w:val="28"/>
        </w:rPr>
        <w:t xml:space="preserve"> возраста и проживающих на территории муниципального округа, органы территориального общественного самоуправления, старос</w:t>
      </w:r>
      <w:r>
        <w:rPr>
          <w:rFonts w:ascii="Times New Roman" w:hAnsi="Times New Roman"/>
          <w:sz w:val="28"/>
          <w:szCs w:val="28"/>
        </w:rPr>
        <w:t xml:space="preserve">та сельского населенного пункта;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статье 2: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4"/>
        </w:rPr>
        <w:t xml:space="preserve"> целях реализации в очередном финансовом году мероприятий, имеющих приоритетное значение для жителей муниципального округа или его части, по решению вопросов непосредственного обеспечения жизнедеятельности населения или ин</w:t>
      </w:r>
      <w:r>
        <w:rPr>
          <w:rFonts w:ascii="Times New Roman" w:hAnsi="Times New Roman" w:cs="Times New Roman"/>
          <w:sz w:val="28"/>
          <w:szCs w:val="24"/>
        </w:rPr>
        <w:t xml:space="preserve">ых вопросов, право решения, которых предоставлено органам местного самоуправления, в администрацию Нефтекумского муниципального округа Ставропольского края (далее – администрация муниципального округа), в том числе через территориальный орган администрации</w:t>
      </w:r>
      <w:r>
        <w:rPr>
          <w:rFonts w:ascii="Times New Roman" w:hAnsi="Times New Roman" w:cs="Times New Roman"/>
          <w:sz w:val="28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4"/>
        </w:rPr>
        <w:t xml:space="preserve">,</w:t>
      </w:r>
      <w:r>
        <w:rPr>
          <w:rFonts w:ascii="Times New Roman" w:hAnsi="Times New Roman" w:cs="Times New Roman"/>
          <w:sz w:val="28"/>
          <w:szCs w:val="24"/>
        </w:rPr>
        <w:t xml:space="preserve"> инициаторами проекта вносится инициативный проект в период с 10 июля по 25 июля текущего года.»;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4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Инициативный проек</w:t>
      </w:r>
      <w:r>
        <w:rPr>
          <w:rFonts w:ascii="Times New Roman" w:hAnsi="Times New Roman"/>
          <w:sz w:val="28"/>
          <w:szCs w:val="28"/>
        </w:rPr>
        <w:t xml:space="preserve">т до его внесения в администрацию муниципального округа подлежит рассмотрению на сходе или собрании граждан, в том числе на собрании граждан по вопросам осуществления территориального общественного самоуправления на части территории муниципального округа, </w:t>
      </w:r>
      <w:r>
        <w:rPr>
          <w:rFonts w:ascii="Times New Roman" w:hAnsi="Times New Roman"/>
          <w:sz w:val="28"/>
          <w:szCs w:val="28"/>
          <w:lang w:eastAsia="ru-RU"/>
        </w:rPr>
        <w:t xml:space="preserve">в целях о</w:t>
      </w:r>
      <w:r>
        <w:rPr>
          <w:rFonts w:ascii="Times New Roman" w:hAnsi="Times New Roman"/>
          <w:sz w:val="28"/>
          <w:szCs w:val="28"/>
          <w:lang w:eastAsia="ru-RU"/>
        </w:rPr>
        <w:t xml:space="preserve">бсуждения инициативного проекта, определения его соответствия интересам жителей муниципального округа или его части, целесообразности реализации инициативного проекта, а также принятия сходом или собранием граждан решения о поддержке инициативного проекта.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этом возможно рассмотрение нескольких инициативных проектов на одном</w:t>
      </w:r>
      <w:r>
        <w:rPr>
          <w:rFonts w:ascii="Times New Roman" w:hAnsi="Times New Roman"/>
          <w:sz w:val="28"/>
          <w:szCs w:val="28"/>
        </w:rPr>
        <w:t xml:space="preserve"> сходе или на одном</w:t>
      </w:r>
      <w:r>
        <w:rPr>
          <w:rFonts w:ascii="Times New Roman" w:hAnsi="Times New Roman"/>
          <w:sz w:val="28"/>
          <w:szCs w:val="28"/>
        </w:rPr>
        <w:t xml:space="preserve"> собрании граждан.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 xml:space="preserve">слов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конференции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6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внесении инициативного проекта в администрацию муниципального округа подлежит обнародованию, в том числе посредством размещени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округа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трех рабочих дней со дня окончания приёма инициативных проектов администрацией муниципального округа и должна содержать сведения, указанные в части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статьи, а также сведения об инициаторах проекта.»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7 слово «шестнадцатилетнего» заменить словом «восемнадцатилетнего»;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части 10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невозможность реализации инициативного проекта ввиду отсутствия у органов местного самоуправления муниципального округа необходимых полномочий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органов местного самоуправления и прав органов местного самоуправления на осуществление полномочий, не отнесенных к полномочиям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;»;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части 15 слова «собранием или конференцией» заменить словами «сходом или собранием»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част</w:t>
      </w:r>
      <w:r>
        <w:rPr>
          <w:rFonts w:ascii="Times New Roman" w:hAnsi="Times New Roman"/>
          <w:sz w:val="28"/>
          <w:szCs w:val="28"/>
        </w:rPr>
        <w:t xml:space="preserve">ях</w:t>
      </w:r>
      <w:r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</w:rPr>
        <w:t xml:space="preserve"> и 17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«опубликованию (обнародованию) и размещению» заменить словами «</w:t>
      </w:r>
      <w:r>
        <w:rPr>
          <w:rFonts w:ascii="Times New Roman" w:hAnsi="Times New Roman"/>
          <w:sz w:val="28"/>
          <w:szCs w:val="28"/>
          <w:lang w:eastAsia="ru-RU"/>
        </w:rPr>
        <w:t xml:space="preserve">обнародованию, в том числе посредством размещения»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часть 9 статьи 3 признать утратившей силу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) в статье 4: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части 1 слово</w:t>
      </w:r>
      <w:r>
        <w:rPr>
          <w:rFonts w:ascii="Times New Roman" w:hAnsi="Times New Roman" w:cs="Times New Roman"/>
          <w:sz w:val="28"/>
          <w:szCs w:val="28"/>
        </w:rPr>
        <w:t xml:space="preserve"> «конференции» заменить слов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м «</w:t>
      </w:r>
      <w:r>
        <w:rPr>
          <w:rFonts w:ascii="Times New Roman" w:hAnsi="Times New Roman" w:cs="Times New Roman"/>
          <w:sz w:val="28"/>
          <w:szCs w:val="28"/>
        </w:rPr>
        <w:t xml:space="preserve">сходе»;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2 слово «шестнадцатилетнего» заменить словом «восемнадцатилетнего»;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Проведение собрания (</w:t>
      </w:r>
      <w:r>
        <w:rPr>
          <w:rFonts w:ascii="Times New Roman" w:hAnsi="Times New Roman" w:cs="Times New Roman"/>
          <w:sz w:val="28"/>
          <w:szCs w:val="28"/>
        </w:rPr>
        <w:t xml:space="preserve">схода</w:t>
      </w:r>
      <w:r>
        <w:rPr>
          <w:rFonts w:ascii="Times New Roman" w:hAnsi="Times New Roman" w:cs="Times New Roman"/>
          <w:sz w:val="28"/>
          <w:szCs w:val="28"/>
        </w:rPr>
        <w:t xml:space="preserve">) осуществляется в соответствии с Федеральным законом 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единой системе публичной власти», Уставом Нефтекумского муниципального округа Ставро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 и Положением о порядке назначения и проведения собраний и конференций (собраний делегатов) граждан в Нефтекумском муниципальном округе Ставропольского края, утвержденным решением Думы Нефтекумского муниципального округа Ставропольского края.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части 2 </w:t>
      </w:r>
      <w:r>
        <w:rPr>
          <w:rFonts w:ascii="Times New Roman" w:hAnsi="Times New Roman" w:cs="Times New Roman"/>
          <w:sz w:val="28"/>
          <w:szCs w:val="28"/>
        </w:rPr>
        <w:t xml:space="preserve">стать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 слово «шестнадцатилетнего» замени</w:t>
      </w:r>
      <w:r>
        <w:rPr>
          <w:rFonts w:ascii="Times New Roman" w:hAnsi="Times New Roman"/>
          <w:sz w:val="28"/>
          <w:szCs w:val="28"/>
        </w:rPr>
        <w:t xml:space="preserve">ть словом «восемнадцатилетнего».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дополнить статьей 9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«Статья 9. </w:t>
      </w:r>
      <w:r>
        <w:rPr>
          <w:rFonts w:ascii="Times New Roman" w:hAnsi="Times New Roman"/>
          <w:b/>
          <w:sz w:val="28"/>
          <w:szCs w:val="28"/>
        </w:rPr>
        <w:t xml:space="preserve">Финансовое обеспечение реализации инициативных проектов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Источником финансового обеспечения реализации инициативных проектов являются предусмотренные решением Думы Нефтекумского муниципального округа Ставропольского края о местном бюд</w:t>
      </w:r>
      <w:r>
        <w:rPr>
          <w:rFonts w:ascii="Times New Roman" w:hAnsi="Times New Roman"/>
          <w:sz w:val="28"/>
          <w:szCs w:val="28"/>
        </w:rPr>
        <w:t xml:space="preserve">жете на очередной финансовый год и плановый период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трансфертов, предоставляемых из бюджета Ставропольского края.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ind w:firstLine="567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jc w:val="both"/>
        <w:tabs>
          <w:tab w:val="left" w:pos="1134" w:leader="none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</w:p>
    <w:p>
      <w:pPr>
        <w:pStyle w:val="855"/>
        <w:ind w:firstLine="567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firstLine="567"/>
        <w:jc w:val="both"/>
        <w:rPr>
          <w:rFonts w:ascii="Times New Roman" w:hAnsi="Times New Roman" w:cs="Times New Roman"/>
          <w:sz w:val="24"/>
          <w:szCs w:val="28"/>
        </w:rPr>
        <w:outlineLvl w:val="0"/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855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решения возложить на постоянную комиссию Думы Нефтекумского муниципального округа Ставропольского края по бюджету, экономической политике, налогам, собственности и инвестициям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А.А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Омаров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5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5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5"/>
        <w:ind w:firstLine="567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firstLine="567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Нефтекумского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Д.А. Слюсарев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Нефтекумского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Д.Н.Сокуренко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567" w:bottom="993" w:left="1418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52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9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6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3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0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8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5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24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link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link w:val="702"/>
    <w:uiPriority w:val="35"/>
    <w:rPr>
      <w:b/>
      <w:bCs/>
      <w:color w:val="4f81bd" w:themeColor="accent1"/>
      <w:sz w:val="18"/>
      <w:szCs w:val="18"/>
    </w:rPr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49">
    <w:name w:val="Заголовок 5"/>
    <w:basedOn w:val="848"/>
    <w:next w:val="848"/>
    <w:link w:val="863"/>
    <w:semiHidden/>
    <w:unhideWhenUsed/>
    <w:qFormat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character" w:styleId="850">
    <w:name w:val="Основной шрифт абзаца"/>
    <w:next w:val="850"/>
    <w:link w:val="848"/>
    <w:uiPriority w:val="1"/>
    <w:unhideWhenUsed/>
  </w:style>
  <w:style w:type="table" w:styleId="851">
    <w:name w:val="Обычная таблица"/>
    <w:next w:val="851"/>
    <w:link w:val="848"/>
    <w:uiPriority w:val="99"/>
    <w:semiHidden/>
    <w:unhideWhenUsed/>
    <w:tblPr/>
  </w:style>
  <w:style w:type="numbering" w:styleId="852">
    <w:name w:val="Нет списка"/>
    <w:next w:val="852"/>
    <w:link w:val="848"/>
    <w:uiPriority w:val="99"/>
    <w:semiHidden/>
    <w:unhideWhenUsed/>
  </w:style>
  <w:style w:type="paragraph" w:styleId="853">
    <w:name w:val="ConsPlusNormal"/>
    <w:next w:val="853"/>
    <w:link w:val="848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54">
    <w:name w:val="ConsPlusNonformat"/>
    <w:next w:val="854"/>
    <w:link w:val="848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55">
    <w:name w:val="ConsPlusTitle"/>
    <w:next w:val="855"/>
    <w:link w:val="848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856">
    <w:name w:val="ConsPlusTitlePage"/>
    <w:next w:val="856"/>
    <w:link w:val="848"/>
    <w:pPr>
      <w:widowControl w:val="off"/>
    </w:pPr>
    <w:rPr>
      <w:rFonts w:ascii="Tahoma" w:hAnsi="Tahoma" w:eastAsia="Times New Roman" w:cs="Tahoma"/>
      <w:lang w:val="ru-RU" w:eastAsia="ru-RU" w:bidi="ar-SA"/>
    </w:rPr>
  </w:style>
  <w:style w:type="table" w:styleId="857">
    <w:name w:val="Сетка таблицы"/>
    <w:basedOn w:val="851"/>
    <w:next w:val="857"/>
    <w:link w:val="848"/>
    <w:uiPriority w:val="59"/>
    <w:pPr>
      <w:spacing w:after="0" w:line="240" w:lineRule="auto"/>
    </w:pPr>
    <w:tblPr/>
  </w:style>
  <w:style w:type="paragraph" w:styleId="858">
    <w:name w:val="Текст выноски"/>
    <w:basedOn w:val="848"/>
    <w:next w:val="858"/>
    <w:link w:val="85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859">
    <w:name w:val="Текст выноски Знак"/>
    <w:next w:val="859"/>
    <w:link w:val="858"/>
    <w:uiPriority w:val="99"/>
    <w:semiHidden/>
    <w:rPr>
      <w:rFonts w:ascii="Tahoma" w:hAnsi="Tahoma" w:cs="Tahoma"/>
      <w:sz w:val="16"/>
      <w:szCs w:val="16"/>
    </w:rPr>
  </w:style>
  <w:style w:type="paragraph" w:styleId="860">
    <w:name w:val="Основной текст с отступом"/>
    <w:basedOn w:val="848"/>
    <w:next w:val="860"/>
    <w:link w:val="861"/>
    <w:pPr>
      <w:ind w:left="283"/>
      <w:spacing w:after="120" w:line="240" w:lineRule="auto"/>
    </w:pPr>
    <w:rPr>
      <w:rFonts w:ascii="Times New Roman" w:hAnsi="Times New Roman" w:eastAsia="Times New Roman"/>
      <w:b/>
      <w:bCs/>
      <w:sz w:val="28"/>
      <w:szCs w:val="28"/>
      <w:lang w:val="en-US" w:eastAsia="ru-RU"/>
    </w:rPr>
  </w:style>
  <w:style w:type="character" w:styleId="861">
    <w:name w:val="Основной текст с отступом Знак"/>
    <w:next w:val="861"/>
    <w:link w:val="86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62">
    <w:name w:val="Гиперссылка"/>
    <w:next w:val="862"/>
    <w:link w:val="848"/>
    <w:uiPriority w:val="99"/>
    <w:semiHidden/>
    <w:unhideWhenUsed/>
    <w:rPr>
      <w:color w:val="0000ff"/>
      <w:u w:val="single"/>
    </w:rPr>
  </w:style>
  <w:style w:type="character" w:styleId="863">
    <w:name w:val="Заголовок 5 Знак"/>
    <w:next w:val="863"/>
    <w:link w:val="84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64">
    <w:name w:val="Обычный (веб)"/>
    <w:basedOn w:val="848"/>
    <w:next w:val="864"/>
    <w:link w:val="84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5">
    <w:name w:val="Абзац списка"/>
    <w:basedOn w:val="848"/>
    <w:next w:val="865"/>
    <w:link w:val="848"/>
    <w:uiPriority w:val="34"/>
    <w:qFormat/>
    <w:pPr>
      <w:contextualSpacing/>
      <w:ind w:left="720"/>
    </w:pPr>
  </w:style>
  <w:style w:type="paragraph" w:styleId="866">
    <w:name w:val="Текст"/>
    <w:basedOn w:val="848"/>
    <w:next w:val="866"/>
    <w:link w:val="867"/>
    <w:pPr>
      <w:spacing w:after="0" w:line="240" w:lineRule="auto"/>
    </w:pPr>
    <w:rPr>
      <w:rFonts w:ascii="Courier New" w:hAnsi="Courier New" w:eastAsia="Times New Roman"/>
      <w:sz w:val="20"/>
      <w:szCs w:val="20"/>
      <w:lang w:val="en-US" w:eastAsia="ru-RU"/>
    </w:rPr>
  </w:style>
  <w:style w:type="character" w:styleId="867">
    <w:name w:val="Текст Знак"/>
    <w:next w:val="867"/>
    <w:link w:val="866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868" w:default="1">
    <w:name w:val="Default Paragraph Font"/>
    <w:uiPriority w:val="1"/>
    <w:semiHidden/>
    <w:unhideWhenUsed/>
  </w:style>
  <w:style w:type="numbering" w:styleId="869" w:default="1">
    <w:name w:val="No List"/>
    <w:uiPriority w:val="99"/>
    <w:semiHidden/>
    <w:unhideWhenUsed/>
  </w:style>
  <w:style w:type="table" w:styleId="8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hramchenko</cp:lastModifiedBy>
  <cp:revision>22</cp:revision>
  <dcterms:created xsi:type="dcterms:W3CDTF">2023-08-03T07:40:00Z</dcterms:created>
  <dcterms:modified xsi:type="dcterms:W3CDTF">2025-06-16T07:15:52Z</dcterms:modified>
  <cp:version>1048576</cp:version>
</cp:coreProperties>
</file>