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</w:pPr>
      <w:r>
        <w:rPr>
          <w:b/>
          <w:sz w:val="28"/>
          <w:szCs w:val="28"/>
        </w:rPr>
        <w:tab/>
      </w:r>
      <w:r>
        <w:t xml:space="preserve">СВЕДЕНИЯ </w:t>
      </w:r>
      <w:r/>
    </w:p>
    <w:p>
      <w:pPr>
        <w:pStyle w:val="850"/>
        <w:jc w:val="center"/>
      </w:pPr>
      <w:r>
        <w:t xml:space="preserve">в целях обеспечения возможности проведения независимой антикоррупционной экспертизы</w:t>
      </w:r>
      <w:r/>
    </w:p>
    <w:p>
      <w:pPr>
        <w:pStyle w:val="850"/>
        <w:jc w:val="center"/>
      </w:pPr>
      <w:r/>
      <w:r/>
    </w:p>
    <w:p>
      <w:pPr>
        <w:pStyle w:val="850"/>
        <w:ind w:left="0" w:right="0" w:firstLine="567"/>
        <w:jc w:val="both"/>
      </w:pPr>
      <w:r>
        <w:t xml:space="preserve">И</w:t>
      </w:r>
      <w:r>
        <w:t xml:space="preserve">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</w:t>
      </w:r>
      <w:r>
        <w:t xml:space="preserve">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  <w:r/>
    </w:p>
    <w:p>
      <w:pPr>
        <w:pStyle w:val="850"/>
        <w:ind w:left="0" w:right="0" w:firstLine="567"/>
        <w:jc w:val="both"/>
      </w:pPr>
      <w:r>
        <w:t xml:space="preserve">Н</w:t>
      </w:r>
      <w:r>
        <w:t xml:space="preserve">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</w:t>
      </w:r>
      <w:r>
        <w:t xml:space="preserve">х правовых актов, согласно методике, определенной Правительством Российской Федерации.</w:t>
      </w:r>
      <w:r/>
    </w:p>
    <w:p>
      <w:pPr>
        <w:pStyle w:val="850"/>
        <w:ind w:left="0" w:right="0" w:firstLine="567"/>
        <w:jc w:val="both"/>
      </w:pPr>
      <w:r>
        <w:t xml:space="preserve">Адрес электронной почты в информационно-телекоммуникационной сети "Интернет" для направления заключений в электронном виде: snmr05@mail.ru.</w:t>
      </w:r>
      <w:r/>
    </w:p>
    <w:p>
      <w:pPr>
        <w:pStyle w:val="850"/>
        <w:ind w:left="0" w:right="0" w:firstLine="567"/>
        <w:jc w:val="both"/>
      </w:pPr>
      <w:r>
        <w:t xml:space="preserve">Дата начала приема заключений по результатам проведения независимой антикоррупционной экспертизы: 11.06.2025 год. </w:t>
      </w:r>
      <w:r/>
    </w:p>
    <w:p>
      <w:pPr>
        <w:pStyle w:val="850"/>
        <w:ind w:left="0" w:right="0" w:firstLine="567"/>
        <w:jc w:val="both"/>
      </w:pPr>
      <w:r>
        <w:t xml:space="preserve">Дата окончания приема заключений по результатам проведения независимой антикоррупционной экспертизы: 16.06. 2025 год. </w:t>
      </w:r>
      <w:r/>
    </w:p>
    <w:p>
      <w:pPr>
        <w:ind w:firstLine="567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567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567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8150" cy="4953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38149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.50pt;height:39.00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</w:t>
      </w:r>
      <w:r>
        <w:rPr>
          <w:b/>
        </w:rPr>
        <w:t xml:space="preserve">проект</w:t>
      </w:r>
      <w:r>
        <w:rPr>
          <w:b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 xml:space="preserve">МУНИЦИПАЛЬНОГО</w:t>
      </w:r>
      <w:r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СТАВРОПОЛЬСКОГО КРАЯ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</w:t>
      </w:r>
      <w:r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 _____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                    №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</w:t>
      </w:r>
      <w:r>
        <w:rPr>
          <w:sz w:val="28"/>
          <w:szCs w:val="28"/>
        </w:rPr>
        <w:t xml:space="preserve">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Нефтекумского муниципального округа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 от 29 декабря 2004 г. № 190 ФЗ, Федеральным законом от 06 октября 2003 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Нефтекумского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утвержденным решением Думы Нефтекумского городского округа Ставропольского края от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2023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Нефтекумского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</w:t>
      </w:r>
      <w:r>
        <w:rPr>
          <w:b/>
          <w:sz w:val="28"/>
          <w:szCs w:val="28"/>
        </w:rPr>
        <w:t xml:space="preserve">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hyperlink w:tooltip="#P42" w:anchor="P42" w:history="1">
        <w:r>
          <w:rPr>
            <w:sz w:val="28"/>
            <w:szCs w:val="28"/>
          </w:rPr>
          <w:t xml:space="preserve">Порядок</w:t>
        </w:r>
      </w:hyperlink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проведения осмотра зданий, сооружений в целях оце</w:t>
      </w:r>
      <w:r>
        <w:rPr>
          <w:spacing w:val="2"/>
          <w:sz w:val="28"/>
          <w:szCs w:val="28"/>
          <w:shd w:val="clear" w:color="auto" w:fill="ffffff"/>
        </w:rPr>
        <w:t xml:space="preserve">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Нефтекумского муниципального округа Ставропольского края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утратившим силу решение Думы Нефтекумского городского округа Ставропольского края от 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марта 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Порядка </w:t>
      </w:r>
      <w:r>
        <w:rPr>
          <w:spacing w:val="2"/>
          <w:sz w:val="28"/>
          <w:szCs w:val="28"/>
          <w:shd w:val="clear" w:color="auto" w:fill="ffffff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</w:t>
      </w:r>
      <w:r>
        <w:rPr>
          <w:spacing w:val="2"/>
          <w:sz w:val="28"/>
          <w:szCs w:val="28"/>
          <w:shd w:val="clear" w:color="auto" w:fill="ffffff"/>
        </w:rPr>
        <w:t xml:space="preserve">другим характеристикам надежности и безопасности объектов, требованиями проектной документации указанных объектов</w:t>
      </w:r>
      <w: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на территории Нефтекумского городского округа Ставропольского края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4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официального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Д.А. Слюсарев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Нефтекумского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Д.Н. </w:t>
      </w:r>
      <w:r>
        <w:rPr>
          <w:sz w:val="28"/>
          <w:szCs w:val="28"/>
        </w:rPr>
        <w:t xml:space="preserve">Сокуренко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</w:pPr>
      <w:r>
        <w:t xml:space="preserve">Приложение </w:t>
      </w:r>
      <w:r/>
    </w:p>
    <w:p>
      <w:pPr>
        <w:jc w:val="right"/>
      </w:pPr>
      <w:r>
        <w:t xml:space="preserve">к решению Думы Нефтекумского </w:t>
      </w:r>
      <w:r>
        <w:t xml:space="preserve">муниципального</w:t>
      </w:r>
      <w:r>
        <w:t xml:space="preserve"> округа </w:t>
      </w:r>
      <w:r/>
    </w:p>
    <w:p>
      <w:pPr>
        <w:jc w:val="right"/>
      </w:pPr>
      <w:r>
        <w:t xml:space="preserve">Ставропольского края «</w:t>
      </w:r>
      <w:r>
        <w:t xml:space="preserve">Об утверждении Порядка </w:t>
      </w:r>
      <w:r>
        <w:t xml:space="preserve">проведения осмотра </w:t>
      </w:r>
      <w:r/>
    </w:p>
    <w:p>
      <w:pPr>
        <w:jc w:val="right"/>
      </w:pPr>
      <w:r>
        <w:t xml:space="preserve">зданий, сооружений в целях оценки их технического состояния и </w:t>
      </w:r>
      <w:r/>
    </w:p>
    <w:p>
      <w:pPr>
        <w:jc w:val="right"/>
      </w:pPr>
      <w:r>
        <w:t xml:space="preserve">надлежащего</w:t>
      </w:r>
      <w:r>
        <w:t xml:space="preserve"> </w:t>
      </w:r>
      <w:r>
        <w:t xml:space="preserve">технического обслуживания в соответствии с требованиями </w:t>
      </w:r>
      <w:r/>
    </w:p>
    <w:p>
      <w:pPr>
        <w:jc w:val="right"/>
      </w:pPr>
      <w:r>
        <w:t xml:space="preserve">технических</w:t>
      </w:r>
      <w:r>
        <w:t xml:space="preserve"> </w:t>
      </w:r>
      <w:r>
        <w:t xml:space="preserve">регламентов к конструктивным и другим характеристикам </w:t>
      </w:r>
      <w:r/>
    </w:p>
    <w:p>
      <w:pPr>
        <w:jc w:val="right"/>
      </w:pPr>
      <w:r>
        <w:t xml:space="preserve">надежности и</w:t>
      </w:r>
      <w:r>
        <w:t xml:space="preserve"> </w:t>
      </w:r>
      <w:r>
        <w:t xml:space="preserve">безопасности объектов, требованиями проектной </w:t>
      </w:r>
      <w:r/>
    </w:p>
    <w:p>
      <w:pPr>
        <w:jc w:val="right"/>
      </w:pPr>
      <w:r>
        <w:t xml:space="preserve">документации указанных объектов</w:t>
      </w:r>
      <w:r>
        <w:t xml:space="preserve"> на территории Нефтекумского</w:t>
      </w:r>
      <w:r/>
    </w:p>
    <w:p>
      <w:pPr>
        <w:jc w:val="right"/>
      </w:pPr>
      <w:r>
        <w:t xml:space="preserve">муниципального округа Ставропольского края</w:t>
      </w:r>
      <w:r>
        <w:t xml:space="preserve">»</w:t>
      </w:r>
      <w:r/>
    </w:p>
    <w:p>
      <w:pPr>
        <w:jc w:val="right"/>
      </w:pPr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ОРЯДОК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</w:t>
      </w:r>
      <w:r>
        <w:rPr>
          <w:b/>
          <w:sz w:val="28"/>
          <w:szCs w:val="28"/>
        </w:rPr>
        <w:t xml:space="preserve">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Нефтекумского муниципального округа Ставропольского края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ind w:firstLine="567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Статья 1.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1. Настоящий Порядок определяет правила проведения осмотров зданий, сооружений и выдачи рекомендаций об устранении выявленных в ходе таких осмотров нарушений на территории Нефтекумского муниципального округа Ставропольского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разработан на основании </w:t>
      </w:r>
      <w:hyperlink r:id="rId10" w:tooltip="https://login.consultant.ru/link/?req=doc&amp;base=LAW&amp;n=494926&amp;dst=597" w:history="1">
        <w:r>
          <w:rPr>
            <w:rFonts w:ascii="Times New Roman" w:hAnsi="Times New Roman" w:cs="Times New Roman"/>
            <w:sz w:val="28"/>
            <w:szCs w:val="28"/>
          </w:rPr>
          <w:t xml:space="preserve">части 11 статьи 55.24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https://login.consultant.ru/link/?req=doc&amp;base=LAW&amp;n=471020" w:history="1">
        <w:r>
          <w:rPr>
            <w:rFonts w:ascii="Times New Roman" w:hAnsi="Times New Roman" w:cs="Times New Roman"/>
            <w:sz w:val="28"/>
            <w:szCs w:val="28"/>
          </w:rPr>
          <w:t xml:space="preserve"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30.12.2009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384-ФЗ "Технический регламент о безопасности зданий и сооружений", Федерального </w:t>
      </w:r>
      <w:hyperlink r:id="rId12" w:tooltip="https://login.consultant.ru/link/?req=doc&amp;base=LAW&amp;n=480999" w:history="1">
        <w:r>
          <w:rPr>
            <w:rFonts w:ascii="Times New Roman" w:hAnsi="Times New Roman" w:cs="Times New Roman"/>
            <w:sz w:val="28"/>
            <w:szCs w:val="28"/>
          </w:rPr>
          <w:t xml:space="preserve"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</w:t>
      </w:r>
      <w:r>
        <w:rPr>
          <w:rFonts w:ascii="Times New Roman" w:hAnsi="Times New Roman" w:cs="Times New Roman"/>
          <w:sz w:val="28"/>
          <w:szCs w:val="28"/>
        </w:rPr>
        <w:t xml:space="preserve">оящий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</w:t>
      </w:r>
      <w:r>
        <w:rPr>
          <w:rFonts w:ascii="Times New Roman" w:hAnsi="Times New Roman" w:cs="Times New Roman"/>
          <w:sz w:val="28"/>
          <w:szCs w:val="28"/>
        </w:rPr>
        <w:t xml:space="preserve">теристикам надежности и безопасности объектов, требованиями проектной документации указанных объектов,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7"/>
        <w:ind w:firstLine="567"/>
        <w:shd w:val="clear" w:color="auto" w:fill="ffffff"/>
        <w:rPr>
          <w:bCs w:val="0"/>
          <w:i w:val="0"/>
          <w:spacing w:val="2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Статья 2.</w:t>
      </w:r>
      <w:r>
        <w:rPr>
          <w:b w:val="0"/>
          <w:i w:val="0"/>
          <w:sz w:val="28"/>
          <w:szCs w:val="28"/>
        </w:rPr>
        <w:t xml:space="preserve"> </w:t>
      </w:r>
      <w:r>
        <w:rPr>
          <w:bCs w:val="0"/>
          <w:i w:val="0"/>
          <w:spacing w:val="2"/>
          <w:sz w:val="28"/>
          <w:szCs w:val="28"/>
        </w:rPr>
        <w:t xml:space="preserve">Органы, осуществляющие осмотр зданий, сооружений</w:t>
      </w:r>
      <w:r>
        <w:rPr>
          <w:bCs w:val="0"/>
          <w:i w:val="0"/>
          <w:spacing w:val="2"/>
          <w:sz w:val="28"/>
          <w:szCs w:val="28"/>
        </w:rPr>
      </w:r>
      <w:r>
        <w:rPr>
          <w:bCs w:val="0"/>
          <w:i w:val="0"/>
          <w:spacing w:val="2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Осмотр зданий, сооружений и выдача рекомендаций об устранении выявленных в ходе такого осмотра нарушений в случаях, предусмотренных Градостроительным кодексом Российской Федерации, от имени администрации </w:t>
      </w:r>
      <w:r>
        <w:rPr>
          <w:sz w:val="28"/>
          <w:szCs w:val="28"/>
        </w:rPr>
        <w:t xml:space="preserve">Нефтекумского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Ставропольского края (далее -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дминистрация) осуществляется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омиссией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</w:t>
      </w:r>
      <w:r>
        <w:rPr>
          <w:sz w:val="28"/>
          <w:szCs w:val="28"/>
        </w:rPr>
        <w:t xml:space="preserve">регламентов к конструктивным и другим характеристикам надежности и</w:t>
      </w:r>
      <w:r>
        <w:rPr>
          <w:sz w:val="28"/>
          <w:szCs w:val="28"/>
        </w:rPr>
        <w:t xml:space="preserve"> безопасности объектов, требованиями проектной документации указанных объектов (далее -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омиссия</w:t>
      </w:r>
      <w:r>
        <w:rPr>
          <w:sz w:val="28"/>
          <w:szCs w:val="28"/>
        </w:rPr>
        <w:t xml:space="preserve">), образуемой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Состав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утверждаются распоряжением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в каждом случае возникновения необходимости проведения осмотра.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включаются: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первый з</w:t>
      </w:r>
      <w:r>
        <w:rPr>
          <w:sz w:val="28"/>
          <w:szCs w:val="28"/>
        </w:rPr>
        <w:t xml:space="preserve">аместитель (заместитель) главы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дминистрации, председатель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специалист отдела строительства, архитектуры и транспорта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специалист управления ж</w:t>
      </w:r>
      <w:r>
        <w:rPr>
          <w:sz w:val="28"/>
          <w:szCs w:val="28"/>
        </w:rPr>
        <w:t xml:space="preserve">илищно-коммунального хозяйства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специалист управления имуще</w:t>
      </w:r>
      <w:r>
        <w:rPr>
          <w:sz w:val="28"/>
          <w:szCs w:val="28"/>
        </w:rPr>
        <w:t xml:space="preserve">ственных и земельных отношений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представитель управления Ставропольского края - государственной жилищной инспекции </w:t>
      </w:r>
      <w:r>
        <w:rPr>
          <w:sz w:val="28"/>
          <w:szCs w:val="28"/>
        </w:rPr>
        <w:t xml:space="preserve">(по согласованию);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представители других заинтересованных органов и организаций.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для проведения осмотра зданий, сооружений требуются специальные познания, к его проведению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омиссией привлекаются эксперты, представители экспертных и иных организаций.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567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Статья 3.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 и проведение осмотра зданий, сооружений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Объектом осмотров являются объекты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- здания и сооружения, находящиеся в границах округа, независимо от форм собственности,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Проведение осмотров зданий и сооружений и выдача рекомендаций включают в себя: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изучение сведений об осматриваемом объекте: время строительства, сроки эксплуатации, общая характеристика объемно-планировочного и конструктивного решений и систем инженерного оборудования, сведения об эксплуатационном </w:t>
      </w:r>
      <w:r>
        <w:rPr>
          <w:sz w:val="28"/>
          <w:szCs w:val="28"/>
        </w:rPr>
        <w:t xml:space="preserve">контроле за</w:t>
      </w:r>
      <w:r>
        <w:rPr>
          <w:sz w:val="28"/>
          <w:szCs w:val="28"/>
        </w:rPr>
        <w:t xml:space="preserve"> техническим состоянием зданий, сооружений, сведения о техническом обслуживании и проведенных текущих и капитальных ремонтах зданий, сооружений;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визуальный осмотр состояния здания, сооружения на предмет их технического состояния и надлежащего технического обслуживания, нарушений </w:t>
      </w:r>
      <w:r>
        <w:rPr>
          <w:sz w:val="28"/>
          <w:szCs w:val="28"/>
        </w:rPr>
        <w:t xml:space="preserve">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 фотофиксацией или видеозаписью видимых дефектов;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проверку выполнения рекомендаций, выданных по результатам предыдущего осмотра, в случае проведения повторного осмотра здания, сооружения.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Максимальный срок проведения осмотра зданий, сооружений и </w:t>
      </w:r>
      <w:r>
        <w:rPr>
          <w:rFonts w:ascii="Times New Roman" w:hAnsi="Times New Roman" w:cs="Times New Roman"/>
          <w:sz w:val="28"/>
          <w:szCs w:val="28"/>
        </w:rPr>
        <w:t xml:space="preserve">выдачи рекомендаций не должен превышать тридцати дней </w:t>
      </w:r>
      <w:r>
        <w:rPr>
          <w:rFonts w:ascii="Times New Roman" w:hAnsi="Times New Roman" w:cs="Times New Roman"/>
          <w:sz w:val="28"/>
          <w:szCs w:val="28"/>
        </w:rPr>
        <w:t xml:space="preserve">с даты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заявления физи</w:t>
      </w:r>
      <w:r>
        <w:rPr>
          <w:rFonts w:ascii="Times New Roman" w:hAnsi="Times New Roman" w:cs="Times New Roman"/>
          <w:sz w:val="28"/>
          <w:szCs w:val="28"/>
        </w:rPr>
        <w:t xml:space="preserve">ческих или юридических лиц (далее - заявитель)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Основанием для рассмотрения вопроса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омиссией в соответствии с </w:t>
      </w:r>
      <w:hyperlink r:id="rId13" w:tooltip="https://login.consultant.ru/link/?req=doc&amp;base=LAW&amp;n=494926&amp;dst=597" w:history="1">
        <w:r>
          <w:rPr>
            <w:sz w:val="28"/>
            <w:szCs w:val="28"/>
          </w:rPr>
          <w:t xml:space="preserve">частью 11 статьи 55.24</w:t>
        </w:r>
      </w:hyperlink>
      <w:r>
        <w:rPr>
          <w:sz w:val="28"/>
          <w:szCs w:val="28"/>
        </w:rPr>
        <w:t xml:space="preserve"> Градостроительного кодекса Российской Федерации является заявлени</w:t>
      </w:r>
      <w:r>
        <w:rPr>
          <w:sz w:val="28"/>
          <w:szCs w:val="28"/>
        </w:rPr>
        <w:t xml:space="preserve">е физических или юридических лиц о нарушении требований законодательства Российской Федерации к эксплуатации зданий сооружений, о возникновении аварийных ситуаций в зданиях, сооружениях или возникновении угрозы разрушения зданий, сооружений, поступившее в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Осмотр зданий, сооружений осуществляется путем выезда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омиссии на объект осмотра по поступившему заявлению.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 по осмотру зданий, сооружений осуществляются в соответствии с настоящим Порядком.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Комиссия вправе запрашивать в рамках межведомственного информационного взаимодействия в Управлении Федеральной службы государственной регистрации, кадастра и картографии по Ставропольскому краю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ведения о собственниках зданий, сооружений в порядке, предусмотренном законодательством.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Осмотры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омиссией проводятся с участием лиц, ответственных за эксплуатацию здания, сооружения и собственников зданий, сооружений или лиц, которые владеют зданием, сооружением на ином законном основании либо их уполномоченных представителей.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комиссии могут быть обжалованы в установленном законом судебном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Собственники зданий, сооружений (лица, которые владеют зданием, сооружением на ином законном основании) </w:t>
      </w:r>
      <w:r>
        <w:rPr>
          <w:rFonts w:ascii="Times New Roman" w:hAnsi="Times New Roman" w:cs="Times New Roman"/>
          <w:sz w:val="28"/>
          <w:szCs w:val="28"/>
        </w:rPr>
        <w:t xml:space="preserve">(далее - правообладатель объекта)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их уполномоченные представители, уведомляются о проведении осмотра не </w:t>
      </w:r>
      <w:r>
        <w:rPr>
          <w:rFonts w:ascii="Times New Roman" w:hAnsi="Times New Roman" w:cs="Times New Roman"/>
          <w:sz w:val="28"/>
          <w:szCs w:val="28"/>
        </w:rPr>
        <w:t xml:space="preserve">позднее</w:t>
      </w:r>
      <w:r>
        <w:rPr>
          <w:rFonts w:ascii="Times New Roman" w:hAnsi="Times New Roman" w:cs="Times New Roman"/>
          <w:sz w:val="28"/>
          <w:szCs w:val="28"/>
        </w:rPr>
        <w:t xml:space="preserve"> чем за десять календарных дней до даты н</w:t>
      </w:r>
      <w:r>
        <w:rPr>
          <w:rFonts w:ascii="Times New Roman" w:hAnsi="Times New Roman" w:cs="Times New Roman"/>
          <w:sz w:val="28"/>
          <w:szCs w:val="28"/>
        </w:rPr>
        <w:t xml:space="preserve">ачала проведения осмотра посредством направления письма заказным почтовым отправлением с уведомлением о вручении или иным доступным способом (факсом, электронной почтой, нарочно - должностным лицом) с указанием на возможность принятия участия в проводимом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омиссией осмотре.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Правообладатель объекта</w:t>
      </w:r>
      <w:r>
        <w:rPr>
          <w:rFonts w:ascii="Times New Roman" w:hAnsi="Times New Roman" w:cs="Times New Roman"/>
          <w:sz w:val="28"/>
          <w:szCs w:val="28"/>
        </w:rPr>
        <w:t xml:space="preserve"> уведомля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 лиц, ответственных за эксплуатацию принадлежащих им объектов, самостоятельно.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осмотра зданий и сооружений составляется </w:t>
      </w:r>
      <w:hyperlink w:tooltip="#P118" w:anchor="P118" w:history="1">
        <w:r>
          <w:rPr>
            <w:rFonts w:ascii="Times New Roman" w:hAnsi="Times New Roman" w:cs="Times New Roman"/>
            <w:sz w:val="28"/>
            <w:szCs w:val="28"/>
          </w:rPr>
          <w:t xml:space="preserve">акт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осмотра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приложений к акту осмотра прикладываются: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фотофиксация или видеозапись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заключения сторонних специалистов, привлеченных к проведению осмотров в качестве экспертов (при наличии);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иные документы, материалы, содержащие информацию,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осмотра составляется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омиссией в трех экземплярах после завершения осмотра. Один экземпляр с документ</w:t>
      </w:r>
      <w:r>
        <w:rPr>
          <w:rFonts w:ascii="Times New Roman" w:hAnsi="Times New Roman" w:cs="Times New Roman"/>
          <w:sz w:val="28"/>
          <w:szCs w:val="28"/>
        </w:rPr>
        <w:t xml:space="preserve">ами направляется заказным почтовым отправлением с уведомлением о вручении правообладателю объекта, либо вручается лицу, ответственному за эксплуатацию здания, сооружения, под роспись, второй - направляется, вручается заявителю, третий является экземпляром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обнаружения нарушений требований законодательства Российской Федерации к эксплуатации зданий, соор</w:t>
      </w:r>
      <w:r>
        <w:rPr>
          <w:rFonts w:ascii="Times New Roman" w:hAnsi="Times New Roman" w:cs="Times New Roman"/>
          <w:sz w:val="28"/>
          <w:szCs w:val="28"/>
        </w:rPr>
        <w:t xml:space="preserve">ужений, в том числе повлекших возникновение аварийных ситуаций в зданиях, сооружениях или возникновение угрозы разрушения зданий, сооружений правообладателям объектов либо их уполномоченным представителям, присутствовавшим при проведении осмотра, выдаются </w:t>
      </w:r>
      <w:hyperlink w:tooltip="#P180" w:anchor="P180" w:history="1">
        <w:r>
          <w:rPr>
            <w:rFonts w:ascii="Times New Roman" w:hAnsi="Times New Roman" w:cs="Times New Roman"/>
            <w:sz w:val="28"/>
            <w:szCs w:val="28"/>
          </w:rPr>
          <w:t xml:space="preserve">рекомендации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мерах по </w:t>
      </w:r>
      <w:r>
        <w:rPr>
          <w:rFonts w:ascii="Times New Roman" w:hAnsi="Times New Roman" w:cs="Times New Roman"/>
          <w:sz w:val="28"/>
          <w:szCs w:val="28"/>
        </w:rPr>
        <w:t xml:space="preserve">устранению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сроков устранения выявленных нарушений и срока проведения повторного осмотра здания, сооружения.</w:t>
      </w:r>
      <w:r>
        <w:rPr>
          <w:rFonts w:ascii="Times New Roman" w:hAnsi="Times New Roman" w:cs="Times New Roman"/>
          <w:sz w:val="28"/>
          <w:szCs w:val="28"/>
        </w:rPr>
        <w:t xml:space="preserve"> Сроки устранения выявленных нарушений указываются в зависимости от выявленных нарушений с учетом мнения правообладателей объектов либо их уполномоченных представителей, а также лиц, ответственных за эксплуатацию зданий, сооружений.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с указанием сроков устр</w:t>
      </w:r>
      <w:r>
        <w:rPr>
          <w:rFonts w:ascii="Times New Roman" w:hAnsi="Times New Roman" w:cs="Times New Roman"/>
          <w:sz w:val="28"/>
          <w:szCs w:val="28"/>
        </w:rPr>
        <w:t xml:space="preserve">анения выявленных нарушений подготавливаются после подписания акта осмотра здания, сооружения и выдаются правообладателям объектов, либо их уполномоченным представителям в срок не позднее десяти рабочих дней со дня подписания акта осмотра членами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проведенного осмотра, в случае </w:t>
      </w:r>
      <w:r>
        <w:rPr>
          <w:rFonts w:ascii="Times New Roman" w:hAnsi="Times New Roman" w:cs="Times New Roman"/>
          <w:sz w:val="28"/>
          <w:szCs w:val="28"/>
        </w:rPr>
        <w:t xml:space="preserve">выявления нарушений требований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сооружений, назначается повторный осмотр здания, сооружения.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повторного осмотра является проверка выполнения рекомендаций предыдущего осмотра. При обнаружении при повторном осмотре нарушений, ответственность за которые предусмотрена </w:t>
      </w:r>
      <w:hyperlink r:id="rId14" w:tooltip="https://login.consultant.ru/link/?req=doc&amp;base=LAW&amp;n=483156" w:history="1">
        <w:r>
          <w:rPr>
            <w:rFonts w:ascii="Times New Roman" w:hAnsi="Times New Roman" w:cs="Times New Roman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омиссия передает материалы </w:t>
      </w:r>
      <w:r>
        <w:rPr>
          <w:rFonts w:ascii="Times New Roman" w:hAnsi="Times New Roman" w:cs="Times New Roman"/>
          <w:sz w:val="28"/>
          <w:szCs w:val="28"/>
        </w:rPr>
        <w:t xml:space="preserve">о выявленных нарушениях в орган или должностному лицу, в компетенцию которых входит решение вопроса о привлечении к ответственности лица, совершившего такое нарушение.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Документы, составленные по результатам осмотров, содержащие сведения, составляющие коммерческую или иную охраняемую законом тайну, оформляются с соблюдением требований,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Правообладатели объектов либо их уполномоченные представители, а также лица, ответственные за эксплуатацию зданий и сооружений имеют право: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присутствовать при проведении мероприятий по осмотру зданий, сооружений и давать объяснения по вопросам, относящимся к предмету осмотра;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знакомиться с результатами осмотра и получать относящуюся к предмету осмотра информацию и документы;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обжаловать действия (бездействие) должностных лиц и результаты осмотров.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Физические и юридические лица, в отношении зданий и сооружений которых проводятся осмотры, обязаны: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должностному лицу доступ в осматриваемые здания и сооружения и представить документацию, необходимую для проведения осмотра;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исполнять рекомендации об устранении выявленных нарушений, выданные должностным лицом, в срок, установленный такими рекомендациями.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. Воспрепятствование деятельности должностных лиц при исполнении ими обязанностей по осуществлению осмотра зданий и сооружений влечет за собой привлечение к ответственности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pStyle w:val="8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</w:pPr>
      <w:r>
        <w:t xml:space="preserve">к Порядку проведения осмотра </w:t>
      </w:r>
      <w:r/>
    </w:p>
    <w:p>
      <w:pPr>
        <w:jc w:val="right"/>
      </w:pPr>
      <w:r>
        <w:t xml:space="preserve">зданий, сооружений в целях оценки их технического состояния и </w:t>
      </w:r>
      <w:r/>
    </w:p>
    <w:p>
      <w:pPr>
        <w:jc w:val="right"/>
      </w:pPr>
      <w:r>
        <w:t xml:space="preserve">надлежащего технического обслуживания в соответствии </w:t>
      </w:r>
      <w:r>
        <w:t xml:space="preserve">с</w:t>
      </w:r>
      <w:r>
        <w:t xml:space="preserve"> </w:t>
      </w:r>
      <w:r/>
    </w:p>
    <w:p>
      <w:pPr>
        <w:jc w:val="right"/>
      </w:pPr>
      <w:r>
        <w:t xml:space="preserve">требованиями технических регламентов к конструктивным и другим </w:t>
      </w:r>
      <w:r/>
    </w:p>
    <w:p>
      <w:pPr>
        <w:jc w:val="right"/>
      </w:pPr>
      <w:r>
        <w:t xml:space="preserve">характеристикам надежности и безопасности объектов, требованиями проектной документации указанных объектов</w:t>
      </w:r>
      <w:r>
        <w:t xml:space="preserve"> на территории Нефтекумского</w:t>
      </w:r>
      <w:r/>
    </w:p>
    <w:p>
      <w:pPr>
        <w:jc w:val="right"/>
      </w:pPr>
      <w:r>
        <w:t xml:space="preserve">муниципального округа Ставропольского края</w:t>
      </w:r>
      <w:r/>
    </w:p>
    <w:p>
      <w:pPr>
        <w:pStyle w:val="8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Нефтекумского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 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(подпись)   (Ф.И.О.)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_____________ 20___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ОСМОТРА ЗДАНИЯ, СООРУЖЕНИЯ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Нефтекумский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 Ставропольский к</w:t>
      </w:r>
      <w:r>
        <w:rPr>
          <w:rFonts w:ascii="Times New Roman" w:hAnsi="Times New Roman" w:cs="Times New Roman"/>
          <w:sz w:val="28"/>
          <w:szCs w:val="28"/>
        </w:rPr>
        <w:t xml:space="preserve">рай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(дата, время составления)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акт составлен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отчество, должность, председателя Комиссии)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отчество, должность представителя отдела строительства, архитектуры 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транспорта администрации Нефтекумского городского округа)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отчество, должность, секретарь Комиссии)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отчество, должность представителя управления городского хозяйства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Нефтекумского городского округа)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отчество, должность представителя управления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Ставропольского края по строительному и жилищному надзору)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отчество, должность представителей иных органов и организаций)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участием представителей экспертных и иных организаций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отчество, должность, место работы)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Нефтекумского городского округа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дата и номер)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осмотра:</w:t>
      </w:r>
      <w:r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(наименование здания, сооружения, его место нахождения)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осмотре установлено: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подробное описание данных, характеризующих состояние объекта осмотра)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(не выявлены) нарушения:</w:t>
      </w:r>
      <w:r>
        <w:rPr>
          <w:rFonts w:ascii="Times New Roman" w:hAnsi="Times New Roman" w:cs="Times New Roman"/>
        </w:rPr>
        <w:t xml:space="preserve">-------------------------------------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 случае выявления указываются нарушения требований 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регламентов, проектной документации)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о мерах по устранению выявленных нарушений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осмотре присутствовали: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фамилии, имена, отчества заявителя, лица, ответственного за эксплуатацию здания, сооружения)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к акту: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(материалы </w:t>
      </w:r>
      <w:r>
        <w:rPr>
          <w:rFonts w:ascii="Times New Roman" w:hAnsi="Times New Roman" w:cs="Times New Roman"/>
          <w:sz w:val="24"/>
          <w:szCs w:val="24"/>
        </w:rPr>
        <w:t xml:space="preserve">фотофиксации</w:t>
      </w:r>
      <w:r>
        <w:rPr>
          <w:rFonts w:ascii="Times New Roman" w:hAnsi="Times New Roman" w:cs="Times New Roman"/>
          <w:sz w:val="24"/>
          <w:szCs w:val="24"/>
        </w:rPr>
        <w:t xml:space="preserve"> осматриваемого здания, сооружения и иные материалы, оформленные в ходе осмотра)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 лиц, проводивших осмотр: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 представителя)     (Подпись, печать)       (Ф.И.О.)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 представителя)     (Подпись, печать)       (Ф.И.О.)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 представителя)     (Подпись, печать)       (Ф.И.О.)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 представителя)     (Подпись, печать)       (Ф.И.О.)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 представителя)     (Подпись, печать)       (Ф.И.О.)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 представителя)     (Подпись, печать)       (Ф.И.О.)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 представителя)     (Подпись, печать)       (Ф.И.О.)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709" w:right="849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4090202050204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Calibri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9"/>
    <w:link w:val="825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29"/>
    <w:link w:val="826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29"/>
    <w:link w:val="827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29"/>
    <w:link w:val="828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basedOn w:val="829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829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829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829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4"/>
    <w:next w:val="824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829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68">
    <w:name w:val="Title Char"/>
    <w:basedOn w:val="829"/>
    <w:link w:val="836"/>
    <w:uiPriority w:val="10"/>
    <w:rPr>
      <w:sz w:val="48"/>
      <w:szCs w:val="48"/>
    </w:rPr>
  </w:style>
  <w:style w:type="character" w:styleId="669">
    <w:name w:val="Subtitle Char"/>
    <w:basedOn w:val="829"/>
    <w:link w:val="83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basedOn w:val="829"/>
    <w:link w:val="674"/>
    <w:uiPriority w:val="99"/>
  </w:style>
  <w:style w:type="paragraph" w:styleId="676">
    <w:name w:val="Footer"/>
    <w:basedOn w:val="824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basedOn w:val="829"/>
    <w:link w:val="676"/>
    <w:uiPriority w:val="99"/>
  </w:style>
  <w:style w:type="paragraph" w:styleId="678">
    <w:name w:val="Caption"/>
    <w:basedOn w:val="824"/>
    <w:next w:val="824"/>
    <w:link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829"/>
    <w:link w:val="678"/>
    <w:uiPriority w:val="35"/>
    <w:rPr>
      <w:b/>
      <w:bCs/>
      <w:color w:val="4f81bd" w:themeColor="accent1"/>
      <w:sz w:val="18"/>
      <w:szCs w:val="18"/>
    </w:rPr>
  </w:style>
  <w:style w:type="table" w:styleId="680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9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9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5">
    <w:name w:val="Heading 1"/>
    <w:basedOn w:val="824"/>
    <w:next w:val="824"/>
    <w:link w:val="832"/>
    <w:qFormat/>
    <w:pPr>
      <w:jc w:val="center"/>
      <w:keepNext/>
      <w:widowControl w:val="off"/>
      <w:outlineLvl w:val="0"/>
    </w:pPr>
    <w:rPr>
      <w:b/>
      <w:bCs/>
      <w:i/>
      <w:iCs/>
    </w:rPr>
  </w:style>
  <w:style w:type="paragraph" w:styleId="826">
    <w:name w:val="Heading 2"/>
    <w:basedOn w:val="824"/>
    <w:next w:val="824"/>
    <w:link w:val="833"/>
    <w:qFormat/>
    <w:pPr>
      <w:keepNext/>
      <w:widowControl w:val="off"/>
      <w:outlineLvl w:val="1"/>
    </w:pPr>
    <w:rPr>
      <w:b/>
      <w:bCs/>
      <w:i/>
      <w:iCs/>
    </w:rPr>
  </w:style>
  <w:style w:type="paragraph" w:styleId="827">
    <w:name w:val="Heading 3"/>
    <w:basedOn w:val="824"/>
    <w:next w:val="824"/>
    <w:link w:val="834"/>
    <w:qFormat/>
    <w:pPr>
      <w:keepNext/>
      <w:widowControl w:val="off"/>
      <w:outlineLvl w:val="2"/>
    </w:pPr>
    <w:rPr>
      <w:b/>
      <w:bCs/>
      <w:i/>
      <w:iCs/>
      <w:sz w:val="18"/>
    </w:rPr>
  </w:style>
  <w:style w:type="paragraph" w:styleId="828">
    <w:name w:val="Heading 4"/>
    <w:basedOn w:val="824"/>
    <w:next w:val="824"/>
    <w:link w:val="835"/>
    <w:qFormat/>
    <w:pPr>
      <w:ind w:firstLine="720"/>
      <w:keepNext/>
      <w:widowControl w:val="off"/>
      <w:outlineLvl w:val="3"/>
    </w:pPr>
    <w:rPr>
      <w:sz w:val="28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character" w:styleId="832" w:customStyle="1">
    <w:name w:val="Заголовок 1 Знак"/>
    <w:basedOn w:val="829"/>
    <w:link w:val="825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character" w:styleId="833" w:customStyle="1">
    <w:name w:val="Заголовок 2 Знак"/>
    <w:basedOn w:val="829"/>
    <w:link w:val="826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character" w:styleId="834" w:customStyle="1">
    <w:name w:val="Заголовок 3 Знак"/>
    <w:basedOn w:val="829"/>
    <w:link w:val="827"/>
    <w:rPr>
      <w:rFonts w:ascii="Times New Roman" w:hAnsi="Times New Roman" w:eastAsia="Times New Roman" w:cs="Times New Roman"/>
      <w:b/>
      <w:bCs/>
      <w:i/>
      <w:iCs/>
      <w:sz w:val="18"/>
      <w:szCs w:val="24"/>
      <w:lang w:eastAsia="ru-RU"/>
    </w:rPr>
  </w:style>
  <w:style w:type="character" w:styleId="835" w:customStyle="1">
    <w:name w:val="Заголовок 4 Знак"/>
    <w:basedOn w:val="829"/>
    <w:link w:val="828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6">
    <w:name w:val="Title"/>
    <w:basedOn w:val="824"/>
    <w:link w:val="837"/>
    <w:qFormat/>
    <w:pPr>
      <w:jc w:val="center"/>
      <w:widowControl w:val="off"/>
    </w:pPr>
    <w:rPr>
      <w:b/>
      <w:sz w:val="28"/>
      <w:szCs w:val="20"/>
    </w:rPr>
  </w:style>
  <w:style w:type="character" w:styleId="837" w:customStyle="1">
    <w:name w:val="Название Знак"/>
    <w:basedOn w:val="829"/>
    <w:link w:val="836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838">
    <w:name w:val="Subtitle"/>
    <w:basedOn w:val="824"/>
    <w:link w:val="839"/>
    <w:qFormat/>
    <w:pPr>
      <w:jc w:val="center"/>
      <w:widowControl w:val="off"/>
    </w:pPr>
    <w:rPr>
      <w:b/>
      <w:bCs/>
      <w:sz w:val="28"/>
    </w:rPr>
  </w:style>
  <w:style w:type="character" w:styleId="839" w:customStyle="1">
    <w:name w:val="Подзаголовок Знак"/>
    <w:basedOn w:val="829"/>
    <w:link w:val="838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840">
    <w:name w:val="Strong"/>
    <w:qFormat/>
    <w:rPr>
      <w:b/>
      <w:bCs/>
    </w:rPr>
  </w:style>
  <w:style w:type="paragraph" w:styleId="841">
    <w:name w:val="No Spacing"/>
    <w:qFormat/>
    <w:pPr>
      <w:spacing w:after="0" w:line="240" w:lineRule="auto"/>
    </w:pPr>
    <w:rPr>
      <w:rFonts w:ascii="Calibri" w:hAnsi="Calibri" w:cs="Times New Roman"/>
    </w:rPr>
  </w:style>
  <w:style w:type="paragraph" w:styleId="842">
    <w:name w:val="List Paragraph"/>
    <w:basedOn w:val="824"/>
    <w:qFormat/>
    <w:pPr>
      <w:contextualSpacing/>
      <w:ind w:left="720"/>
      <w:spacing w:after="200" w:line="276" w:lineRule="auto"/>
      <w:widowControl w:val="off"/>
    </w:pPr>
    <w:rPr>
      <w:rFonts w:asciiTheme="minorHAnsi" w:hAnsiTheme="minorHAnsi" w:eastAsiaTheme="minorHAnsi" w:cstheme="minorBidi"/>
      <w:sz w:val="22"/>
      <w:szCs w:val="22"/>
    </w:rPr>
  </w:style>
  <w:style w:type="paragraph" w:styleId="843" w:customStyle="1">
    <w:name w:val="Без интервала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44">
    <w:name w:val="Balloon Text"/>
    <w:basedOn w:val="824"/>
    <w:link w:val="845"/>
    <w:uiPriority w:val="99"/>
    <w:semiHidden/>
    <w:unhideWhenUsed/>
    <w:rPr>
      <w:rFonts w:ascii="Tahoma" w:hAnsi="Tahoma" w:cs="Tahoma"/>
      <w:sz w:val="16"/>
      <w:szCs w:val="16"/>
    </w:rPr>
  </w:style>
  <w:style w:type="character" w:styleId="845" w:customStyle="1">
    <w:name w:val="Текст выноски Знак"/>
    <w:basedOn w:val="829"/>
    <w:link w:val="84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6">
    <w:name w:val="Body Text Indent"/>
    <w:basedOn w:val="824"/>
    <w:link w:val="847"/>
    <w:pPr>
      <w:ind w:left="283"/>
      <w:spacing w:after="120"/>
    </w:pPr>
    <w:rPr>
      <w:lang w:val="en-US"/>
    </w:rPr>
  </w:style>
  <w:style w:type="character" w:styleId="847" w:customStyle="1">
    <w:name w:val="Основной текст с отступом Знак"/>
    <w:basedOn w:val="829"/>
    <w:link w:val="846"/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styleId="848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9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50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Relationship Id="rId10" Type="http://schemas.openxmlformats.org/officeDocument/2006/relationships/hyperlink" Target="https://login.consultant.ru/link/?req=doc&amp;base=LAW&amp;n=494926&amp;dst=597" TargetMode="External"/><Relationship Id="rId11" Type="http://schemas.openxmlformats.org/officeDocument/2006/relationships/hyperlink" Target="https://login.consultant.ru/link/?req=doc&amp;base=LAW&amp;n=471020" TargetMode="External"/><Relationship Id="rId12" Type="http://schemas.openxmlformats.org/officeDocument/2006/relationships/hyperlink" Target="https://login.consultant.ru/link/?req=doc&amp;base=LAW&amp;n=480999" TargetMode="External"/><Relationship Id="rId13" Type="http://schemas.openxmlformats.org/officeDocument/2006/relationships/hyperlink" Target="https://login.consultant.ru/link/?req=doc&amp;base=LAW&amp;n=494926&amp;dst=597" TargetMode="External"/><Relationship Id="rId14" Type="http://schemas.openxmlformats.org/officeDocument/2006/relationships/hyperlink" Target="https://login.consultant.ru/link/?req=doc&amp;base=LAW&amp;n=48315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458F7-D145-44E9-A37D-6D9E6395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hramchenko</cp:lastModifiedBy>
  <cp:revision>10</cp:revision>
  <dcterms:created xsi:type="dcterms:W3CDTF">2025-05-21T06:35:00Z</dcterms:created>
  <dcterms:modified xsi:type="dcterms:W3CDTF">2025-06-16T08:30:23Z</dcterms:modified>
</cp:coreProperties>
</file>