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0A" w:rsidRPr="00E16AEB" w:rsidRDefault="00202C0A" w:rsidP="00202C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0A" w:rsidRPr="00E16AEB" w:rsidRDefault="00202C0A" w:rsidP="00202C0A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 ДУМА НЕФТЕКУМСКОГО ГОРОДСКОГО ОКРУГА </w:t>
      </w:r>
    </w:p>
    <w:p w:rsidR="00202C0A" w:rsidRPr="00E16AEB" w:rsidRDefault="00202C0A" w:rsidP="00202C0A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202C0A" w:rsidRPr="00E16AEB" w:rsidRDefault="00202C0A" w:rsidP="00202C0A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202C0A" w:rsidRPr="00E16AEB" w:rsidRDefault="00202C0A" w:rsidP="00202C0A">
      <w:pPr>
        <w:jc w:val="center"/>
        <w:rPr>
          <w:sz w:val="28"/>
          <w:szCs w:val="28"/>
        </w:rPr>
      </w:pPr>
    </w:p>
    <w:p w:rsidR="00202C0A" w:rsidRPr="00E16AEB" w:rsidRDefault="00202C0A" w:rsidP="00202C0A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202C0A" w:rsidRPr="00E16AEB" w:rsidRDefault="00202C0A" w:rsidP="00202C0A">
      <w:pPr>
        <w:jc w:val="center"/>
        <w:rPr>
          <w:sz w:val="28"/>
          <w:szCs w:val="28"/>
        </w:rPr>
      </w:pPr>
    </w:p>
    <w:p w:rsidR="00202C0A" w:rsidRPr="00E16AEB" w:rsidRDefault="00202C0A" w:rsidP="00202C0A">
      <w:pPr>
        <w:rPr>
          <w:sz w:val="28"/>
          <w:szCs w:val="28"/>
        </w:rPr>
      </w:pPr>
      <w:r w:rsidRPr="00E16A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16A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6AEB">
        <w:rPr>
          <w:sz w:val="28"/>
          <w:szCs w:val="28"/>
        </w:rPr>
        <w:t xml:space="preserve"> 2020 года              </w:t>
      </w:r>
      <w:r>
        <w:rPr>
          <w:sz w:val="28"/>
          <w:szCs w:val="28"/>
        </w:rPr>
        <w:t xml:space="preserve">   </w:t>
      </w:r>
      <w:r w:rsidRPr="00E16AEB">
        <w:rPr>
          <w:sz w:val="28"/>
          <w:szCs w:val="28"/>
        </w:rPr>
        <w:t xml:space="preserve">     </w:t>
      </w:r>
      <w:proofErr w:type="gramStart"/>
      <w:r w:rsidRPr="00E16AEB">
        <w:rPr>
          <w:sz w:val="28"/>
          <w:szCs w:val="28"/>
        </w:rPr>
        <w:t>г</w:t>
      </w:r>
      <w:proofErr w:type="gramEnd"/>
      <w:r w:rsidRPr="00E16AEB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515</w:t>
      </w:r>
    </w:p>
    <w:p w:rsidR="00202C0A" w:rsidRPr="00202C0A" w:rsidRDefault="00202C0A" w:rsidP="00202C0A">
      <w:pPr>
        <w:rPr>
          <w:sz w:val="28"/>
          <w:szCs w:val="28"/>
        </w:rPr>
      </w:pPr>
    </w:p>
    <w:p w:rsidR="00202C0A" w:rsidRDefault="00202C0A" w:rsidP="00202C0A">
      <w:pPr>
        <w:jc w:val="center"/>
        <w:rPr>
          <w:sz w:val="28"/>
        </w:rPr>
      </w:pPr>
      <w:r>
        <w:rPr>
          <w:sz w:val="28"/>
        </w:rPr>
        <w:t xml:space="preserve">О внесении изменений в решение Думы Нефтекумского </w:t>
      </w:r>
      <w:proofErr w:type="gramStart"/>
      <w:r>
        <w:rPr>
          <w:sz w:val="28"/>
        </w:rPr>
        <w:t>городского</w:t>
      </w:r>
      <w:proofErr w:type="gramEnd"/>
    </w:p>
    <w:p w:rsidR="00202C0A" w:rsidRDefault="00202C0A" w:rsidP="00202C0A">
      <w:pPr>
        <w:jc w:val="center"/>
        <w:rPr>
          <w:sz w:val="28"/>
        </w:rPr>
      </w:pPr>
      <w:r>
        <w:rPr>
          <w:sz w:val="28"/>
        </w:rPr>
        <w:t xml:space="preserve"> округа Ставропольского края от 13 ноября 2018 г. № 262 </w:t>
      </w:r>
    </w:p>
    <w:p w:rsidR="00202C0A" w:rsidRDefault="00202C0A" w:rsidP="00202C0A">
      <w:pPr>
        <w:jc w:val="center"/>
        <w:rPr>
          <w:sz w:val="28"/>
        </w:rPr>
      </w:pPr>
      <w:r>
        <w:rPr>
          <w:sz w:val="28"/>
        </w:rPr>
        <w:t>«О земельном налоге»</w:t>
      </w:r>
    </w:p>
    <w:p w:rsidR="00202C0A" w:rsidRDefault="00202C0A" w:rsidP="00202C0A">
      <w:pPr>
        <w:ind w:firstLine="709"/>
        <w:jc w:val="both"/>
        <w:rPr>
          <w:sz w:val="28"/>
        </w:rPr>
      </w:pPr>
    </w:p>
    <w:p w:rsidR="00202C0A" w:rsidRDefault="00202C0A" w:rsidP="00202C0A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64 Бюджетного Кодекса Российской Федерации, главой 31 Налогового Кодекса Российской Федерации, Уставом Нефтекумского городского округа Ставропольского края, утвержденным решением Думы</w:t>
      </w:r>
      <w:r w:rsidRPr="00202C0A">
        <w:rPr>
          <w:sz w:val="28"/>
        </w:rPr>
        <w:t xml:space="preserve"> </w:t>
      </w:r>
      <w:r>
        <w:rPr>
          <w:sz w:val="28"/>
        </w:rPr>
        <w:t>Нефтекумского городского округа Ставропольского края от 30 октября 2020 года № 39,</w:t>
      </w:r>
    </w:p>
    <w:p w:rsidR="00202C0A" w:rsidRDefault="00202C0A" w:rsidP="00202C0A">
      <w:pPr>
        <w:ind w:firstLine="709"/>
        <w:jc w:val="both"/>
        <w:rPr>
          <w:sz w:val="28"/>
        </w:rPr>
      </w:pPr>
      <w:r>
        <w:rPr>
          <w:sz w:val="28"/>
        </w:rPr>
        <w:t>Дума Нефтекумского городского округа Ставропольского края</w:t>
      </w:r>
    </w:p>
    <w:p w:rsidR="00202C0A" w:rsidRDefault="00202C0A" w:rsidP="00202C0A">
      <w:pPr>
        <w:ind w:firstLine="709"/>
        <w:jc w:val="both"/>
        <w:rPr>
          <w:sz w:val="28"/>
        </w:rPr>
      </w:pPr>
    </w:p>
    <w:p w:rsidR="00202C0A" w:rsidRPr="00C85530" w:rsidRDefault="00202C0A" w:rsidP="00202C0A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202C0A" w:rsidRDefault="00202C0A" w:rsidP="00202C0A">
      <w:pPr>
        <w:ind w:firstLine="709"/>
        <w:jc w:val="both"/>
        <w:rPr>
          <w:sz w:val="28"/>
        </w:rPr>
      </w:pPr>
    </w:p>
    <w:p w:rsidR="00202C0A" w:rsidRDefault="00202C0A" w:rsidP="00202C0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202C0A" w:rsidRPr="00C85530" w:rsidRDefault="00202C0A" w:rsidP="00202C0A">
      <w:pPr>
        <w:ind w:firstLine="709"/>
        <w:jc w:val="both"/>
        <w:rPr>
          <w:b/>
          <w:sz w:val="28"/>
        </w:rPr>
      </w:pPr>
    </w:p>
    <w:p w:rsidR="00202C0A" w:rsidRDefault="00202C0A" w:rsidP="00202C0A">
      <w:pPr>
        <w:ind w:firstLine="709"/>
        <w:jc w:val="both"/>
        <w:rPr>
          <w:sz w:val="28"/>
        </w:rPr>
      </w:pPr>
      <w:r>
        <w:rPr>
          <w:sz w:val="28"/>
        </w:rPr>
        <w:t>Внести в решение Думы Нефтекумского городского округа Ставропольского края от 13 ноября 2018 г. № 262 «О земельном налоге» следующие изменения:</w:t>
      </w:r>
    </w:p>
    <w:p w:rsidR="00202C0A" w:rsidRDefault="00F05CAC" w:rsidP="00F05CAC">
      <w:pPr>
        <w:ind w:left="709"/>
        <w:jc w:val="both"/>
        <w:rPr>
          <w:sz w:val="28"/>
        </w:rPr>
      </w:pPr>
      <w:r>
        <w:rPr>
          <w:sz w:val="28"/>
        </w:rPr>
        <w:t>1)</w:t>
      </w:r>
      <w:r w:rsidR="00202C0A">
        <w:rPr>
          <w:sz w:val="28"/>
        </w:rPr>
        <w:t xml:space="preserve"> в статье 2:</w:t>
      </w:r>
    </w:p>
    <w:p w:rsidR="00202C0A" w:rsidRDefault="00202C0A" w:rsidP="00202C0A">
      <w:pPr>
        <w:ind w:left="709"/>
        <w:jc w:val="both"/>
        <w:rPr>
          <w:sz w:val="28"/>
        </w:rPr>
      </w:pPr>
      <w:r>
        <w:rPr>
          <w:sz w:val="28"/>
        </w:rPr>
        <w:t>а) пункт 2 признать утратившим силу;</w:t>
      </w:r>
    </w:p>
    <w:p w:rsidR="00202C0A" w:rsidRDefault="00202C0A" w:rsidP="00202C0A">
      <w:pPr>
        <w:ind w:left="709"/>
        <w:jc w:val="both"/>
        <w:rPr>
          <w:sz w:val="28"/>
        </w:rPr>
      </w:pPr>
      <w:r>
        <w:rPr>
          <w:sz w:val="28"/>
        </w:rPr>
        <w:t>б) пункт 3 изложить в следующей редакции:</w:t>
      </w:r>
    </w:p>
    <w:p w:rsidR="00202C0A" w:rsidRDefault="00202C0A" w:rsidP="00202C0A">
      <w:pPr>
        <w:ind w:left="1069" w:hanging="360"/>
        <w:jc w:val="both"/>
        <w:rPr>
          <w:sz w:val="28"/>
        </w:rPr>
      </w:pPr>
      <w:r>
        <w:rPr>
          <w:sz w:val="28"/>
        </w:rPr>
        <w:t>«3) 0,3 процента в отношении земельных участков:</w:t>
      </w:r>
    </w:p>
    <w:p w:rsidR="00202C0A" w:rsidRDefault="00202C0A" w:rsidP="0020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02C0A" w:rsidRDefault="00202C0A" w:rsidP="0020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4D6A71">
          <w:rPr>
            <w:sz w:val="28"/>
            <w:szCs w:val="28"/>
          </w:rPr>
          <w:t>законом</w:t>
        </w:r>
      </w:hyperlink>
      <w:r w:rsidRPr="004D6A71">
        <w:rPr>
          <w:sz w:val="28"/>
          <w:szCs w:val="28"/>
        </w:rPr>
        <w:t xml:space="preserve"> </w:t>
      </w:r>
      <w:r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02C0A" w:rsidRDefault="00202C0A" w:rsidP="0020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02C0A" w:rsidRDefault="00202C0A" w:rsidP="00202C0A">
      <w:pPr>
        <w:ind w:left="709"/>
        <w:jc w:val="both"/>
        <w:rPr>
          <w:sz w:val="28"/>
        </w:rPr>
      </w:pPr>
      <w:r>
        <w:rPr>
          <w:sz w:val="28"/>
        </w:rPr>
        <w:t>в) в пункте 4 абзацы третий и четверт</w:t>
      </w:r>
      <w:r w:rsidR="00EA16AD">
        <w:rPr>
          <w:sz w:val="28"/>
        </w:rPr>
        <w:t>ый признать утратившими силу;</w:t>
      </w:r>
    </w:p>
    <w:p w:rsidR="00202C0A" w:rsidRDefault="00F05CAC" w:rsidP="00F05CAC">
      <w:pPr>
        <w:ind w:left="709"/>
        <w:jc w:val="both"/>
        <w:rPr>
          <w:sz w:val="28"/>
        </w:rPr>
      </w:pPr>
      <w:r>
        <w:rPr>
          <w:sz w:val="28"/>
        </w:rPr>
        <w:t xml:space="preserve">2) </w:t>
      </w:r>
      <w:r w:rsidR="00EA16AD">
        <w:rPr>
          <w:sz w:val="28"/>
        </w:rPr>
        <w:t>с</w:t>
      </w:r>
      <w:r w:rsidR="00202C0A">
        <w:rPr>
          <w:sz w:val="28"/>
        </w:rPr>
        <w:t>татью 4 изложить в следующей редакции:</w:t>
      </w:r>
    </w:p>
    <w:p w:rsidR="00202C0A" w:rsidRDefault="00202C0A" w:rsidP="00F05CAC">
      <w:pPr>
        <w:ind w:left="709"/>
        <w:jc w:val="both"/>
        <w:rPr>
          <w:sz w:val="28"/>
        </w:rPr>
      </w:pPr>
      <w:r>
        <w:rPr>
          <w:sz w:val="28"/>
        </w:rPr>
        <w:t>«</w:t>
      </w:r>
      <w:r w:rsidR="00F05CAC">
        <w:rPr>
          <w:sz w:val="28"/>
        </w:rPr>
        <w:t xml:space="preserve">1. </w:t>
      </w:r>
      <w:r>
        <w:rPr>
          <w:sz w:val="28"/>
        </w:rPr>
        <w:t>Освободить от уплаты земельного налога:</w:t>
      </w:r>
    </w:p>
    <w:p w:rsidR="00202C0A" w:rsidRDefault="00202C0A" w:rsidP="00202C0A">
      <w:pPr>
        <w:ind w:firstLine="708"/>
        <w:jc w:val="both"/>
        <w:rPr>
          <w:sz w:val="28"/>
        </w:rPr>
      </w:pPr>
      <w:r>
        <w:rPr>
          <w:sz w:val="28"/>
        </w:rPr>
        <w:t>1) организации - в отношении земельных участков под строящимися объектами социального назначения;</w:t>
      </w:r>
    </w:p>
    <w:p w:rsidR="00202C0A" w:rsidRDefault="00202C0A" w:rsidP="00202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2) 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службы), в отношении земельных участков, не используемых в предпринимательской деятельности, </w:t>
      </w:r>
      <w:r>
        <w:rPr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</w:t>
      </w:r>
      <w:r w:rsidRPr="001C15EF">
        <w:rPr>
          <w:sz w:val="28"/>
          <w:szCs w:val="28"/>
        </w:rPr>
        <w:t xml:space="preserve">также земельных участков общего назначения, предусмотренных Федеральным </w:t>
      </w:r>
      <w:hyperlink r:id="rId7" w:history="1">
        <w:r w:rsidRPr="001C15EF">
          <w:rPr>
            <w:sz w:val="28"/>
            <w:szCs w:val="28"/>
          </w:rPr>
          <w:t>законом</w:t>
        </w:r>
      </w:hyperlink>
      <w:r w:rsidRPr="001C15EF">
        <w:rPr>
          <w:sz w:val="28"/>
          <w:szCs w:val="28"/>
        </w:rPr>
        <w:t xml:space="preserve"> от 29 июля 2017 года № 217-ФЗ «О ведении</w:t>
      </w:r>
      <w:proofErr w:type="gramEnd"/>
      <w:r w:rsidRPr="001C15EF">
        <w:rPr>
          <w:sz w:val="28"/>
          <w:szCs w:val="28"/>
        </w:rPr>
        <w:t xml:space="preserve"> гражданами садоводства и огородничества для</w:t>
      </w:r>
      <w:r>
        <w:rPr>
          <w:sz w:val="28"/>
          <w:szCs w:val="28"/>
        </w:rPr>
        <w:t xml:space="preserve"> собственных нужд и о внесении изменений в отдельные законодательные акты Российской Федерации».</w:t>
      </w:r>
    </w:p>
    <w:p w:rsidR="00202C0A" w:rsidRDefault="00202C0A" w:rsidP="00F05CA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Сумма налога, исчисляемая в отношении земельного участка, используемого субъектом инвестиционной деятельности, осуществляющим реализацию на территории Нефтекумского городского округа Ставропольского края инвестиционного проекта в соответствии с инвестиционным соглашением, заключенным с администрацией Нефтекумского городского округа Ставропольского края, с суммарным объемом инвестиций от 5 000 тыс. рублей до 100 000 тыс. рублей, снижается на 50 процентов.</w:t>
      </w:r>
      <w:proofErr w:type="gramEnd"/>
      <w:r>
        <w:rPr>
          <w:sz w:val="28"/>
        </w:rPr>
        <w:t xml:space="preserve">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трех лет после сдачи в эксплуатацию объекта инвестиционной деятельности</w:t>
      </w:r>
      <w:proofErr w:type="gramStart"/>
      <w:r>
        <w:rPr>
          <w:sz w:val="28"/>
        </w:rPr>
        <w:t>.».</w:t>
      </w:r>
      <w:proofErr w:type="gramEnd"/>
    </w:p>
    <w:p w:rsidR="00202C0A" w:rsidRDefault="00202C0A" w:rsidP="00202C0A">
      <w:pPr>
        <w:ind w:firstLine="709"/>
        <w:jc w:val="both"/>
        <w:rPr>
          <w:b/>
          <w:sz w:val="28"/>
        </w:rPr>
      </w:pPr>
    </w:p>
    <w:p w:rsidR="00202C0A" w:rsidRDefault="00202C0A" w:rsidP="00202C0A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2</w:t>
      </w:r>
    </w:p>
    <w:p w:rsidR="00F05CAC" w:rsidRDefault="00F05CAC" w:rsidP="00202C0A">
      <w:pPr>
        <w:ind w:firstLine="709"/>
        <w:jc w:val="both"/>
        <w:rPr>
          <w:b/>
          <w:sz w:val="28"/>
        </w:rPr>
      </w:pPr>
    </w:p>
    <w:p w:rsidR="00202C0A" w:rsidRPr="00E342A3" w:rsidRDefault="00202C0A" w:rsidP="00202C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202C0A" w:rsidRDefault="00202C0A" w:rsidP="00202C0A">
      <w:pPr>
        <w:ind w:firstLine="709"/>
        <w:jc w:val="both"/>
        <w:rPr>
          <w:b/>
          <w:sz w:val="28"/>
        </w:rPr>
      </w:pPr>
    </w:p>
    <w:p w:rsidR="00202C0A" w:rsidRDefault="00202C0A" w:rsidP="00202C0A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3</w:t>
      </w:r>
    </w:p>
    <w:p w:rsidR="00F05CAC" w:rsidRDefault="00F05CAC" w:rsidP="00202C0A">
      <w:pPr>
        <w:ind w:firstLine="709"/>
        <w:jc w:val="both"/>
        <w:rPr>
          <w:b/>
          <w:sz w:val="28"/>
        </w:rPr>
      </w:pPr>
    </w:p>
    <w:p w:rsidR="00202C0A" w:rsidRDefault="00202C0A" w:rsidP="00202C0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23314">
        <w:rPr>
          <w:sz w:val="28"/>
        </w:rPr>
        <w:t xml:space="preserve">Настоящее решение вступает в силу </w:t>
      </w:r>
      <w:r w:rsidRPr="00223314">
        <w:rPr>
          <w:sz w:val="28"/>
          <w:szCs w:val="28"/>
        </w:rPr>
        <w:t>по истечении 30 дней после дня его официального опубликования, но не ранее 1 января 2021 года</w:t>
      </w:r>
      <w:r w:rsidRPr="00223314">
        <w:rPr>
          <w:sz w:val="28"/>
        </w:rPr>
        <w:t>.</w:t>
      </w:r>
      <w:r>
        <w:rPr>
          <w:sz w:val="28"/>
        </w:rPr>
        <w:t xml:space="preserve"> </w:t>
      </w:r>
    </w:p>
    <w:p w:rsidR="00202C0A" w:rsidRDefault="00202C0A" w:rsidP="00202C0A">
      <w:pPr>
        <w:ind w:firstLine="709"/>
        <w:jc w:val="both"/>
        <w:rPr>
          <w:sz w:val="28"/>
        </w:rPr>
      </w:pPr>
    </w:p>
    <w:p w:rsidR="00F05CAC" w:rsidRPr="00E16AEB" w:rsidRDefault="00F05CAC" w:rsidP="00F05CAC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Председатель Думы </w:t>
      </w:r>
    </w:p>
    <w:p w:rsidR="00F05CAC" w:rsidRPr="00E16AEB" w:rsidRDefault="00F05CAC" w:rsidP="00F05CAC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Нефтекумского городского округа </w:t>
      </w:r>
    </w:p>
    <w:p w:rsidR="00F05CAC" w:rsidRPr="00E16AEB" w:rsidRDefault="00F05CAC" w:rsidP="00F05CAC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</w:t>
      </w:r>
      <w:r w:rsidRPr="00E16AEB">
        <w:rPr>
          <w:sz w:val="28"/>
          <w:szCs w:val="28"/>
        </w:rPr>
        <w:t xml:space="preserve">                       П.А.Лиманов</w:t>
      </w:r>
    </w:p>
    <w:p w:rsidR="00202C0A" w:rsidRDefault="00202C0A" w:rsidP="00202C0A">
      <w:pPr>
        <w:ind w:firstLine="709"/>
        <w:jc w:val="both"/>
        <w:rPr>
          <w:sz w:val="28"/>
        </w:rPr>
      </w:pPr>
    </w:p>
    <w:p w:rsidR="00202C0A" w:rsidRPr="00271F10" w:rsidRDefault="00202C0A" w:rsidP="00F0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202C0A" w:rsidRPr="00271F10" w:rsidRDefault="00202C0A" w:rsidP="00F05CAC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202C0A" w:rsidRDefault="00202C0A" w:rsidP="00F05CAC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="00F05C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="00F05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202C0A" w:rsidSect="00202C0A"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20"/>
    <w:multiLevelType w:val="hybridMultilevel"/>
    <w:tmpl w:val="AF1EAEEA"/>
    <w:lvl w:ilvl="0" w:tplc="5F887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E07BEF"/>
    <w:multiLevelType w:val="hybridMultilevel"/>
    <w:tmpl w:val="A8D4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55D11"/>
    <w:multiLevelType w:val="hybridMultilevel"/>
    <w:tmpl w:val="233AEA5C"/>
    <w:lvl w:ilvl="0" w:tplc="7A4A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C0A"/>
    <w:rsid w:val="001F6282"/>
    <w:rsid w:val="00202C0A"/>
    <w:rsid w:val="00321C32"/>
    <w:rsid w:val="00B854C7"/>
    <w:rsid w:val="00C46E6D"/>
    <w:rsid w:val="00D65AB1"/>
    <w:rsid w:val="00DF46EE"/>
    <w:rsid w:val="00E82D79"/>
    <w:rsid w:val="00EA16AD"/>
    <w:rsid w:val="00F0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02C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202C0A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202C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02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2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4D098179602F2FC4A097E055E28B262BF61BC08C87902E68D8689A3954B92949BD684FB89F70DF576F382463F0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AAFE3CF308526AF74FB0A7F654B8545E75E77FB63EB0019856F4D4020304D7B2D9E755F9F850F654A3BDDD9Cp6U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2020-09-29T12:38:00Z</dcterms:created>
  <dcterms:modified xsi:type="dcterms:W3CDTF">2020-09-29T13:20:00Z</dcterms:modified>
</cp:coreProperties>
</file>