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4340" cy="497840"/>
                <wp:effectExtent l="19050" t="0" r="381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689760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4340" cy="4978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2pt;height:39.2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23 июня 2026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. Нефтекумск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577</w: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67"/>
        <w:jc w:val="center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Думы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Ставропольского края от 5 марта 2024 года № 252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проведения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антикоррупционной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экспертизы проектов нормативных правовых актов и нормативных правовых актов Думы Нефтекумского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Ставропольского края»</w:t>
      </w:r>
      <w:r>
        <w:rPr>
          <w:rFonts w:ascii="Times New Roman" w:hAnsi="Times New Roman" w:cs="Times New Roman"/>
          <w:b w:val="0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tooltip="consultantplus://offline/ref=A73C04646298E6CC99193083901E596631AD936449E29266859EF56A6963893585A770B66E8A4E08v0QCL" w:history="1">
        <w:r>
          <w:rPr>
            <w:rFonts w:ascii="Times New Roman" w:hAnsi="Times New Roman" w:cs="Times New Roman"/>
            <w:sz w:val="28"/>
            <w:szCs w:val="28"/>
          </w:rPr>
          <w:t xml:space="preserve"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ом от 17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sz w:val="28"/>
          <w:szCs w:val="28"/>
        </w:rPr>
        <w:t xml:space="preserve">2009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172-ФЗ «Об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антикоррупционной</w:t>
      </w:r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67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решение Думы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Ставропольского края от 5 марта 2024 года № 252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проведения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антикоррупционной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экспертизы проектов нормативных правовых актов и нормативных правовых актов Думы Нефтекумского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Ставропольского края»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дополнить статью 3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Порядка проведения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антикоррупционной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экспертизы проектов нормативных правовых актов и нормативных правовых актов Думы Нефтекумского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Ставропольского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абзацем следующего содержания: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«Не допускается проведение независимой антикоррупционной экспертизы нормативных правовых актов и проектов нормативных правовых актов: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гражданами, имеющими неснятую или непогашенную судимость;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гражданами, осуществляющими деятельность в органах и организациях, указанных в пункте 3 части 1 статьи 3 настоящего Федерального закона;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международными и иностранными организациями;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567"/>
        <w:jc w:val="both"/>
        <w:spacing w:after="0" w:line="240" w:lineRule="auto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иностранными агентами.».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Дум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местному самоуправлению, законотворчеству и правопорядку</w:t>
      </w:r>
      <w:r>
        <w:rPr>
          <w:rFonts w:ascii="Times New Roman" w:hAnsi="Times New Roman" w:cs="Times New Roman"/>
          <w:sz w:val="28"/>
          <w:szCs w:val="28"/>
        </w:rPr>
        <w:t xml:space="preserve"> (председатель - Р.К. </w:t>
      </w:r>
      <w:r>
        <w:rPr>
          <w:rFonts w:ascii="Times New Roman" w:hAnsi="Times New Roman" w:cs="Times New Roman"/>
          <w:sz w:val="28"/>
          <w:szCs w:val="28"/>
        </w:rPr>
        <w:t xml:space="preserve">Абдулнасыров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40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. А. </w:t>
      </w:r>
      <w:r>
        <w:rPr>
          <w:rFonts w:ascii="Times New Roman" w:hAnsi="Times New Roman" w:cs="Times New Roman"/>
          <w:sz w:val="28"/>
          <w:szCs w:val="28"/>
        </w:rPr>
        <w:t xml:space="preserve">Слюсаре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Д.Н. </w:t>
      </w:r>
      <w:r>
        <w:rPr>
          <w:rFonts w:ascii="Times New Roman" w:hAnsi="Times New Roman" w:cs="Times New Roman"/>
          <w:sz w:val="28"/>
          <w:szCs w:val="28"/>
        </w:rPr>
        <w:t xml:space="preserve">Сокуренко</w:t>
      </w:r>
      <w:r>
        <w:rPr>
          <w:rFonts w:ascii="Times New Roman" w:hAnsi="Times New Roman" w:cs="Times New Roman"/>
          <w:sz w:val="28"/>
          <w:szCs w:val="28"/>
        </w:rPr>
      </w:r>
      <w:r/>
      <w:r/>
      <w:bookmarkStart w:id="0" w:name="Par41"/>
      <w:r/>
      <w:bookmarkEnd w:id="0"/>
      <w:r>
        <w:rPr>
          <w:rFonts w:ascii="Times New Roman" w:hAnsi="Times New Roman" w:cs="Times New Roman"/>
          <w:b w:val="0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</w:rPr>
      </w:r>
      <w:r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631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consultantplus://offline/ref=A73C04646298E6CC99193083901E596631AD936449E29266859EF56A6963893585A770B66E8A4E08v0QC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2026-06-23T08:58:40Z</dcterms:modified>
</cp:coreProperties>
</file>