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8" w:rsidRPr="0034648D" w:rsidRDefault="008D4D48" w:rsidP="0034648D">
      <w:pPr>
        <w:jc w:val="center"/>
        <w:rPr>
          <w:noProof/>
          <w:sz w:val="28"/>
          <w:szCs w:val="28"/>
        </w:rPr>
      </w:pPr>
      <w:r w:rsidRPr="0034648D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48" w:rsidRPr="0034648D" w:rsidRDefault="008D4D48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 xml:space="preserve"> ДУМА НЕФТЕКУМСКОГО ГОРОДСКОГО ОКРУГА </w:t>
      </w:r>
    </w:p>
    <w:p w:rsidR="008D4D48" w:rsidRPr="0034648D" w:rsidRDefault="008D4D48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СТАВРОПОЛЬСКОГО КРАЯ</w:t>
      </w:r>
    </w:p>
    <w:p w:rsidR="008D4D48" w:rsidRPr="0034648D" w:rsidRDefault="008D4D48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ПЕРВОГО СОЗЫВА</w:t>
      </w:r>
    </w:p>
    <w:p w:rsidR="008D4D48" w:rsidRPr="0034648D" w:rsidRDefault="008D4D48" w:rsidP="0034648D">
      <w:pPr>
        <w:jc w:val="center"/>
        <w:rPr>
          <w:sz w:val="28"/>
          <w:szCs w:val="28"/>
        </w:rPr>
      </w:pPr>
    </w:p>
    <w:p w:rsidR="008D4D48" w:rsidRPr="0034648D" w:rsidRDefault="008D4D48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РЕШЕНИЕ</w:t>
      </w:r>
    </w:p>
    <w:p w:rsidR="008D4D48" w:rsidRPr="0034648D" w:rsidRDefault="008D4D48" w:rsidP="0034648D">
      <w:pPr>
        <w:jc w:val="center"/>
        <w:rPr>
          <w:sz w:val="28"/>
          <w:szCs w:val="28"/>
        </w:rPr>
      </w:pPr>
    </w:p>
    <w:p w:rsidR="008D4D48" w:rsidRPr="0034648D" w:rsidRDefault="008D4D48" w:rsidP="0034648D">
      <w:pPr>
        <w:rPr>
          <w:sz w:val="28"/>
          <w:szCs w:val="28"/>
        </w:rPr>
      </w:pPr>
      <w:r w:rsidRPr="0034648D">
        <w:rPr>
          <w:sz w:val="28"/>
          <w:szCs w:val="28"/>
        </w:rPr>
        <w:t xml:space="preserve">30 марта 2021 года                     </w:t>
      </w:r>
      <w:proofErr w:type="gramStart"/>
      <w:r w:rsidRPr="0034648D">
        <w:rPr>
          <w:sz w:val="28"/>
          <w:szCs w:val="28"/>
        </w:rPr>
        <w:t>г</w:t>
      </w:r>
      <w:proofErr w:type="gramEnd"/>
      <w:r w:rsidRPr="0034648D">
        <w:rPr>
          <w:sz w:val="28"/>
          <w:szCs w:val="28"/>
        </w:rPr>
        <w:t xml:space="preserve">. Нефтекумск                          </w:t>
      </w:r>
      <w:r w:rsidR="00852A02">
        <w:rPr>
          <w:sz w:val="28"/>
          <w:szCs w:val="28"/>
        </w:rPr>
        <w:t xml:space="preserve">     </w:t>
      </w:r>
      <w:r w:rsidRPr="0034648D">
        <w:rPr>
          <w:sz w:val="28"/>
          <w:szCs w:val="28"/>
        </w:rPr>
        <w:t xml:space="preserve">             № </w:t>
      </w:r>
      <w:r w:rsidR="0034648D" w:rsidRPr="0034648D">
        <w:rPr>
          <w:sz w:val="28"/>
          <w:szCs w:val="28"/>
        </w:rPr>
        <w:t>586</w:t>
      </w:r>
    </w:p>
    <w:p w:rsidR="008D4D48" w:rsidRPr="0034648D" w:rsidRDefault="008D4D48" w:rsidP="0034648D">
      <w:pPr>
        <w:rPr>
          <w:sz w:val="28"/>
          <w:szCs w:val="28"/>
        </w:rPr>
      </w:pPr>
    </w:p>
    <w:p w:rsidR="008D4D48" w:rsidRPr="0034648D" w:rsidRDefault="008D4D48" w:rsidP="0034648D">
      <w:pPr>
        <w:jc w:val="center"/>
        <w:rPr>
          <w:sz w:val="28"/>
          <w:szCs w:val="28"/>
        </w:rPr>
      </w:pPr>
      <w:r w:rsidRPr="0034648D">
        <w:rPr>
          <w:sz w:val="28"/>
          <w:szCs w:val="28"/>
        </w:rPr>
        <w:t>Об утверждении отчета о деятельности Контрольно-счетной палаты Нефтекумского городского округа Ставропольского края за 2020 год</w:t>
      </w:r>
    </w:p>
    <w:p w:rsidR="008D4D48" w:rsidRPr="0034648D" w:rsidRDefault="008D4D48" w:rsidP="0034648D">
      <w:pPr>
        <w:shd w:val="clear" w:color="auto" w:fill="FFFFFF"/>
        <w:rPr>
          <w:sz w:val="28"/>
          <w:szCs w:val="28"/>
        </w:rPr>
      </w:pPr>
    </w:p>
    <w:p w:rsidR="008D4D48" w:rsidRPr="0034648D" w:rsidRDefault="008D4D48" w:rsidP="0034648D">
      <w:pPr>
        <w:shd w:val="clear" w:color="auto" w:fill="FFFFFF"/>
        <w:ind w:firstLine="567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В соответствии с Уставом Нефтекумского городского округа Ставропольского края, утвержденным решением Думы Нефтекумского городского округа от 30 октября  2017 года № 39, Положением о Контрольно-счетной палате Нефтекумского городского округа Ставропольского края, утвержденным решением Думы Нефтекумского городского округа Ставропольского края от 26 сентября 2017 года № 16,</w:t>
      </w:r>
    </w:p>
    <w:p w:rsidR="008D4D48" w:rsidRPr="0034648D" w:rsidRDefault="008D4D48" w:rsidP="0034648D">
      <w:pPr>
        <w:shd w:val="clear" w:color="auto" w:fill="FFFFFF"/>
        <w:ind w:firstLine="567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Дума Нефтекумского городского округа Ставропольского края</w:t>
      </w:r>
    </w:p>
    <w:p w:rsidR="008D4D48" w:rsidRPr="0034648D" w:rsidRDefault="008D4D48" w:rsidP="0034648D">
      <w:pPr>
        <w:shd w:val="clear" w:color="auto" w:fill="FFFFFF"/>
        <w:jc w:val="both"/>
        <w:rPr>
          <w:sz w:val="28"/>
          <w:szCs w:val="28"/>
        </w:rPr>
      </w:pPr>
    </w:p>
    <w:p w:rsidR="008D4D48" w:rsidRPr="0034648D" w:rsidRDefault="008D4D48" w:rsidP="0034648D">
      <w:pPr>
        <w:shd w:val="clear" w:color="auto" w:fill="FFFFFF"/>
        <w:ind w:firstLine="567"/>
        <w:jc w:val="both"/>
        <w:rPr>
          <w:sz w:val="28"/>
          <w:szCs w:val="28"/>
        </w:rPr>
      </w:pPr>
      <w:r w:rsidRPr="0034648D">
        <w:rPr>
          <w:b/>
          <w:sz w:val="28"/>
          <w:szCs w:val="28"/>
        </w:rPr>
        <w:t>РЕШИЛА</w:t>
      </w:r>
      <w:r w:rsidRPr="0034648D">
        <w:rPr>
          <w:sz w:val="28"/>
          <w:szCs w:val="28"/>
        </w:rPr>
        <w:t>:</w:t>
      </w:r>
    </w:p>
    <w:p w:rsidR="008D4D48" w:rsidRPr="0034648D" w:rsidRDefault="008D4D48" w:rsidP="0034648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D4D48" w:rsidRPr="0034648D" w:rsidRDefault="008D4D48" w:rsidP="0034648D">
      <w:pPr>
        <w:ind w:firstLine="567"/>
        <w:jc w:val="both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Статья 1</w:t>
      </w:r>
    </w:p>
    <w:p w:rsidR="008D4D48" w:rsidRPr="0034648D" w:rsidRDefault="008D4D48" w:rsidP="0034648D">
      <w:pPr>
        <w:ind w:firstLine="567"/>
        <w:jc w:val="both"/>
        <w:rPr>
          <w:b/>
          <w:sz w:val="28"/>
          <w:szCs w:val="28"/>
        </w:rPr>
      </w:pPr>
    </w:p>
    <w:p w:rsidR="008D4D48" w:rsidRPr="0034648D" w:rsidRDefault="008D4D48" w:rsidP="0034648D">
      <w:pPr>
        <w:ind w:firstLine="567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Признать деятельность Контрольно-счетной палаты  Нефтекумского городского округа Ставропольского края за 2020 год удовлетворительной.</w:t>
      </w:r>
    </w:p>
    <w:p w:rsidR="008D4D48" w:rsidRPr="0034648D" w:rsidRDefault="008D4D48" w:rsidP="0034648D">
      <w:pPr>
        <w:ind w:firstLine="720"/>
        <w:jc w:val="both"/>
        <w:rPr>
          <w:b/>
          <w:sz w:val="28"/>
          <w:szCs w:val="28"/>
        </w:rPr>
      </w:pPr>
    </w:p>
    <w:p w:rsidR="008D4D48" w:rsidRPr="0034648D" w:rsidRDefault="008D4D48" w:rsidP="0034648D">
      <w:pPr>
        <w:ind w:firstLine="567"/>
        <w:jc w:val="both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Статья 2</w:t>
      </w:r>
    </w:p>
    <w:p w:rsidR="008D4D48" w:rsidRPr="0034648D" w:rsidRDefault="008D4D48" w:rsidP="0034648D">
      <w:pPr>
        <w:ind w:firstLine="567"/>
        <w:jc w:val="both"/>
        <w:rPr>
          <w:b/>
          <w:sz w:val="28"/>
          <w:szCs w:val="28"/>
        </w:rPr>
      </w:pPr>
    </w:p>
    <w:p w:rsidR="008D4D48" w:rsidRPr="0034648D" w:rsidRDefault="008D4D48" w:rsidP="0034648D">
      <w:pPr>
        <w:ind w:firstLine="567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Утвердить отчет о деятельности Контрольно-счетной палаты Нефтекумского городского округа Ставропольского края за 2020 год согласно приложению.</w:t>
      </w:r>
    </w:p>
    <w:p w:rsidR="008D4D48" w:rsidRPr="0034648D" w:rsidRDefault="008D4D48" w:rsidP="0034648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D4D48" w:rsidRPr="0034648D" w:rsidRDefault="008D4D48" w:rsidP="0034648D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Статья 3</w:t>
      </w:r>
    </w:p>
    <w:p w:rsidR="008D4D48" w:rsidRPr="0034648D" w:rsidRDefault="008D4D48" w:rsidP="0034648D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8D4D48" w:rsidRPr="0034648D" w:rsidRDefault="008D4D48" w:rsidP="0034648D">
      <w:pPr>
        <w:shd w:val="clear" w:color="auto" w:fill="FFFFFF"/>
        <w:ind w:firstLine="567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D4D48" w:rsidRPr="0034648D" w:rsidRDefault="008D4D48" w:rsidP="0034648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D4D48" w:rsidRPr="0034648D" w:rsidRDefault="008D4D48" w:rsidP="0034648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D4D48" w:rsidRPr="0034648D" w:rsidRDefault="008D4D48" w:rsidP="0034648D">
      <w:pPr>
        <w:shd w:val="clear" w:color="auto" w:fill="FFFFFF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Председатель Думы</w:t>
      </w:r>
    </w:p>
    <w:p w:rsidR="008D4D48" w:rsidRPr="0034648D" w:rsidRDefault="008D4D48" w:rsidP="0034648D">
      <w:pPr>
        <w:shd w:val="clear" w:color="auto" w:fill="FFFFFF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 Нефтекумского городского округа </w:t>
      </w:r>
    </w:p>
    <w:p w:rsidR="008D4D48" w:rsidRPr="0034648D" w:rsidRDefault="008D4D48" w:rsidP="0034648D">
      <w:pPr>
        <w:shd w:val="clear" w:color="auto" w:fill="FFFFFF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Ставропольского края                                                                    П.А. Лиманов</w:t>
      </w:r>
    </w:p>
    <w:p w:rsidR="008D4D48" w:rsidRPr="0034648D" w:rsidRDefault="008D4D48" w:rsidP="0034648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D4D48" w:rsidRPr="0034648D" w:rsidRDefault="008D4D48" w:rsidP="0034648D">
      <w:pPr>
        <w:jc w:val="right"/>
      </w:pPr>
    </w:p>
    <w:p w:rsidR="008D4D48" w:rsidRPr="0034648D" w:rsidRDefault="008D4D48" w:rsidP="0034648D">
      <w:pPr>
        <w:jc w:val="right"/>
      </w:pPr>
    </w:p>
    <w:p w:rsidR="008D4D48" w:rsidRPr="0034648D" w:rsidRDefault="008D4D48" w:rsidP="0034648D">
      <w:pPr>
        <w:jc w:val="right"/>
      </w:pPr>
      <w:r w:rsidRPr="0034648D">
        <w:lastRenderedPageBreak/>
        <w:t>Приложение</w:t>
      </w:r>
    </w:p>
    <w:p w:rsidR="008D4D48" w:rsidRPr="0034648D" w:rsidRDefault="008D4D48" w:rsidP="0034648D">
      <w:pPr>
        <w:ind w:firstLine="3828"/>
        <w:jc w:val="center"/>
      </w:pPr>
      <w:r w:rsidRPr="0034648D">
        <w:t>к решению Думы Нефтекумского городского округа</w:t>
      </w:r>
    </w:p>
    <w:p w:rsidR="008D4D48" w:rsidRPr="0034648D" w:rsidRDefault="008D4D48" w:rsidP="0034648D">
      <w:pPr>
        <w:jc w:val="right"/>
      </w:pPr>
      <w:r w:rsidRPr="0034648D">
        <w:t>Ставропольского края</w:t>
      </w:r>
    </w:p>
    <w:p w:rsidR="008D4D48" w:rsidRPr="0034648D" w:rsidRDefault="008D4D48" w:rsidP="0034648D">
      <w:pPr>
        <w:jc w:val="right"/>
      </w:pPr>
      <w:r w:rsidRPr="0034648D">
        <w:t xml:space="preserve">«Об утверждении отчета о деятельности </w:t>
      </w:r>
    </w:p>
    <w:p w:rsidR="008D4D48" w:rsidRPr="0034648D" w:rsidRDefault="008D4D48" w:rsidP="0034648D">
      <w:pPr>
        <w:jc w:val="right"/>
      </w:pPr>
      <w:r w:rsidRPr="0034648D">
        <w:t xml:space="preserve">Контрольно-счетной палаты Нефтекумского </w:t>
      </w:r>
    </w:p>
    <w:p w:rsidR="008D4D48" w:rsidRPr="0034648D" w:rsidRDefault="008D4D48" w:rsidP="0034648D">
      <w:pPr>
        <w:jc w:val="right"/>
      </w:pPr>
      <w:r w:rsidRPr="0034648D">
        <w:t xml:space="preserve">городского округа Ставропольского края за 2020 год» </w:t>
      </w:r>
    </w:p>
    <w:p w:rsidR="008D4D48" w:rsidRPr="0034648D" w:rsidRDefault="008D4D48" w:rsidP="003464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648D">
        <w:rPr>
          <w:rFonts w:ascii="Times New Roman" w:hAnsi="Times New Roman" w:cs="Times New Roman"/>
          <w:sz w:val="24"/>
          <w:szCs w:val="24"/>
        </w:rPr>
        <w:t>от 30 марта 2021 года № 586</w:t>
      </w:r>
    </w:p>
    <w:p w:rsidR="0034648D" w:rsidRPr="0034648D" w:rsidRDefault="0034648D" w:rsidP="0034648D">
      <w:pPr>
        <w:jc w:val="right"/>
        <w:rPr>
          <w:sz w:val="28"/>
          <w:szCs w:val="28"/>
        </w:rPr>
      </w:pPr>
    </w:p>
    <w:p w:rsidR="0034648D" w:rsidRPr="0034648D" w:rsidRDefault="0034648D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ОТЧЕТ</w:t>
      </w:r>
    </w:p>
    <w:p w:rsidR="0034648D" w:rsidRPr="0034648D" w:rsidRDefault="0034648D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о деятельности Контрольно-счетной палаты</w:t>
      </w:r>
    </w:p>
    <w:p w:rsidR="0034648D" w:rsidRPr="0034648D" w:rsidRDefault="0034648D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Нефтекумского городского округа</w:t>
      </w:r>
    </w:p>
    <w:p w:rsidR="0034648D" w:rsidRPr="0034648D" w:rsidRDefault="0034648D" w:rsidP="0034648D">
      <w:pPr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Ставропольского края за 2020 год</w:t>
      </w:r>
    </w:p>
    <w:p w:rsidR="0034648D" w:rsidRPr="0034648D" w:rsidRDefault="0034648D" w:rsidP="0034648D">
      <w:pPr>
        <w:jc w:val="center"/>
        <w:rPr>
          <w:sz w:val="28"/>
          <w:szCs w:val="28"/>
        </w:rPr>
      </w:pPr>
    </w:p>
    <w:p w:rsidR="0034648D" w:rsidRPr="0034648D" w:rsidRDefault="0034648D" w:rsidP="0034648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4648D">
        <w:rPr>
          <w:color w:val="000000"/>
          <w:sz w:val="28"/>
          <w:szCs w:val="28"/>
        </w:rPr>
        <w:t>В соответствии с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Pr="0034648D">
        <w:rPr>
          <w:b/>
          <w:bCs/>
          <w:color w:val="000000"/>
          <w:sz w:val="28"/>
          <w:szCs w:val="28"/>
        </w:rPr>
        <w:t>)</w:t>
      </w:r>
      <w:r w:rsidRPr="0034648D">
        <w:rPr>
          <w:color w:val="000000"/>
          <w:sz w:val="28"/>
          <w:szCs w:val="28"/>
        </w:rPr>
        <w:t>, статьями 9, 20</w:t>
      </w:r>
      <w:r w:rsidRPr="0034648D">
        <w:rPr>
          <w:color w:val="333333"/>
          <w:sz w:val="28"/>
          <w:szCs w:val="28"/>
        </w:rPr>
        <w:t xml:space="preserve"> </w:t>
      </w:r>
      <w:r w:rsidRPr="0034648D">
        <w:rPr>
          <w:color w:val="000000"/>
          <w:sz w:val="28"/>
          <w:szCs w:val="28"/>
        </w:rPr>
        <w:t xml:space="preserve">Положения о Контрольно-счетной палате Нефтекумского городского округа Ставропольского края, утвержденное решением </w:t>
      </w:r>
      <w:r w:rsidRPr="0034648D">
        <w:rPr>
          <w:sz w:val="28"/>
          <w:szCs w:val="28"/>
        </w:rPr>
        <w:t>Думы Нефтекумского городского округа Ставропольского края от 26 сентября 2017 года. № 16 (далее – Положение о Контрольно-счетной палате)</w:t>
      </w:r>
      <w:r w:rsidRPr="0034648D">
        <w:rPr>
          <w:color w:val="000000"/>
          <w:sz w:val="28"/>
          <w:szCs w:val="28"/>
        </w:rPr>
        <w:t>, частью</w:t>
      </w:r>
      <w:proofErr w:type="gramEnd"/>
      <w:r w:rsidRPr="0034648D">
        <w:rPr>
          <w:color w:val="000000"/>
          <w:sz w:val="28"/>
          <w:szCs w:val="28"/>
        </w:rPr>
        <w:t xml:space="preserve"> 3 Стандарта организации деятельности Контрольно-счетной палаты Нефтекумского городского округа «Подготовка отчета о работе Контрольно-счетной палаты Нефтекумского городского округа Ставропольского края» подготовлен отчет о</w:t>
      </w:r>
      <w:r w:rsidRPr="0034648D">
        <w:rPr>
          <w:sz w:val="28"/>
          <w:szCs w:val="28"/>
        </w:rPr>
        <w:t xml:space="preserve"> </w:t>
      </w:r>
      <w:r w:rsidRPr="0034648D">
        <w:rPr>
          <w:color w:val="000000"/>
          <w:sz w:val="28"/>
          <w:szCs w:val="28"/>
        </w:rPr>
        <w:t>результатах деятельности Контрольно-счетной палаты Нефтекумского городского округа Ставропольского края за 2020 год (далее - Отчет).</w:t>
      </w:r>
    </w:p>
    <w:p w:rsidR="0034648D" w:rsidRPr="0034648D" w:rsidRDefault="0034648D" w:rsidP="0034648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Отчет предоставляется в Думу Нефтекумского городского округа Ставропольского края и подлежит обязательному опубликованию.</w:t>
      </w:r>
    </w:p>
    <w:p w:rsidR="0034648D" w:rsidRPr="0034648D" w:rsidRDefault="0034648D" w:rsidP="0034648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4648D">
        <w:rPr>
          <w:color w:val="000000"/>
          <w:sz w:val="28"/>
          <w:szCs w:val="28"/>
        </w:rPr>
        <w:t>В Отчете отражены итоги деятельности Контрольно-счетной палаты Нефтекумского городского округа Ставропольского края (далее – Контрольно-счетная палата) по реализации задач, установленных Конституцией Российской Федерации, Бюджетным кодексом Российской Федерации (далее – БК РФ), Уставом Нефтекумского городского округа Ставропольского края, Положением о Контрольно-счетной палате и иными нормативными правовыми актами Российской Федерации, Ставропольского края и Нефтекумского городского округа Ставропольского края.</w:t>
      </w:r>
      <w:proofErr w:type="gramEnd"/>
    </w:p>
    <w:p w:rsidR="0034648D" w:rsidRPr="0034648D" w:rsidRDefault="0034648D" w:rsidP="0034648D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34648D" w:rsidRPr="0034648D" w:rsidRDefault="0034648D" w:rsidP="0034648D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4648D">
        <w:rPr>
          <w:b/>
          <w:color w:val="000000"/>
          <w:sz w:val="28"/>
          <w:szCs w:val="28"/>
        </w:rPr>
        <w:t>1. Вводные положения</w:t>
      </w:r>
    </w:p>
    <w:p w:rsidR="0034648D" w:rsidRPr="0034648D" w:rsidRDefault="0034648D" w:rsidP="0034648D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34648D" w:rsidRPr="0034648D" w:rsidRDefault="0034648D" w:rsidP="0034648D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В соответствии с Уставом Нефтекумского городского округа Ставропольского края Контрольно-счетная палата входит в структуру органов местного самоуправления Нефтекумского городского округа Ставропольского края, является постоянно действующим органом внешнего муниципального финансового контроля и обладает правами юридического лица.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 xml:space="preserve">В процессе реализации своих полномочий Контрольно-счетная палата в отчетном году осуществляла проведение целостного взаимоувязанного комплекса контрольных, экспертно-аналитических, организационных, </w:t>
      </w:r>
      <w:r w:rsidRPr="0034648D">
        <w:rPr>
          <w:sz w:val="28"/>
          <w:szCs w:val="28"/>
          <w:shd w:val="clear" w:color="auto" w:fill="FFFFFF"/>
        </w:rPr>
        <w:lastRenderedPageBreak/>
        <w:t xml:space="preserve">информационных и иных видов деятельности, обеспечивая единую систему </w:t>
      </w:r>
      <w:proofErr w:type="gramStart"/>
      <w:r w:rsidRPr="0034648D">
        <w:rPr>
          <w:sz w:val="28"/>
          <w:szCs w:val="28"/>
          <w:shd w:val="clear" w:color="auto" w:fill="FFFFFF"/>
        </w:rPr>
        <w:t>контроля за</w:t>
      </w:r>
      <w:proofErr w:type="gramEnd"/>
      <w:r w:rsidRPr="0034648D">
        <w:rPr>
          <w:sz w:val="28"/>
          <w:szCs w:val="28"/>
          <w:shd w:val="clear" w:color="auto" w:fill="FFFFFF"/>
        </w:rPr>
        <w:t xml:space="preserve"> исполнением бюджета Нефтекумского городского округа Ставропольского края.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Штатная численность Контрольно-счетной палаты в 2020 году составила 5,0 единиц. Общее количество работников Контрольно-счетной палаты</w:t>
      </w:r>
      <w:r>
        <w:rPr>
          <w:sz w:val="28"/>
          <w:szCs w:val="28"/>
          <w:shd w:val="clear" w:color="auto" w:fill="FFFFFF"/>
        </w:rPr>
        <w:t xml:space="preserve"> на </w:t>
      </w:r>
      <w:r w:rsidRPr="0034648D">
        <w:rPr>
          <w:sz w:val="28"/>
          <w:szCs w:val="28"/>
          <w:shd w:val="clear" w:color="auto" w:fill="FFFFFF"/>
        </w:rPr>
        <w:t>1 января 2021 года – 4 единицы.</w:t>
      </w:r>
      <w:r w:rsidRPr="0034648D">
        <w:rPr>
          <w:sz w:val="28"/>
          <w:szCs w:val="28"/>
        </w:rPr>
        <w:t xml:space="preserve"> На основании решения Думы Нефтекумского городского </w:t>
      </w:r>
      <w:r>
        <w:rPr>
          <w:sz w:val="28"/>
          <w:szCs w:val="28"/>
        </w:rPr>
        <w:t xml:space="preserve">округа Ставропольского края от </w:t>
      </w:r>
      <w:r w:rsidRPr="0034648D">
        <w:rPr>
          <w:sz w:val="28"/>
          <w:szCs w:val="28"/>
        </w:rPr>
        <w:t>8 декабря 2020 года № 561 «Об утверждении структуры и штатной численности Контрольно-счетной палаты Нефтекумского городского округа Ставропольского края» в целях проведения мероприятий по передаче муниципальному казенному учреждению «Централизованная бухгалтерия Нефтекумского городского округа Ставропольского края» ведения бухгалтерского учета финансово-хозяйственной деятельности Контрольно-счетной палаты, сокращена ставк</w:t>
      </w:r>
      <w:r>
        <w:rPr>
          <w:sz w:val="28"/>
          <w:szCs w:val="28"/>
        </w:rPr>
        <w:t xml:space="preserve">а ведущего </w:t>
      </w:r>
      <w:r w:rsidRPr="0034648D">
        <w:rPr>
          <w:sz w:val="28"/>
          <w:szCs w:val="28"/>
        </w:rPr>
        <w:t>специалист</w:t>
      </w:r>
      <w:proofErr w:type="gramStart"/>
      <w:r w:rsidRPr="0034648D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Pr="0034648D">
        <w:rPr>
          <w:sz w:val="28"/>
          <w:szCs w:val="28"/>
        </w:rPr>
        <w:t xml:space="preserve"> бухгалтера.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 xml:space="preserve">Все сотрудники имеют высшее профессиональное образование, в том числе экономическое – 3 человека, юридическое – 1 человек. 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С декабря 2020 года один инспектор проходит обучение по повышению квалификации и переподготовки по программе «Подготовка и аттестация контрактных управляющих на соответствие квалификации «специалист-экспе</w:t>
      </w:r>
      <w:proofErr w:type="gramStart"/>
      <w:r w:rsidRPr="0034648D">
        <w:rPr>
          <w:sz w:val="28"/>
          <w:szCs w:val="28"/>
          <w:shd w:val="clear" w:color="auto" w:fill="FFFFFF"/>
        </w:rPr>
        <w:t>рт в сф</w:t>
      </w:r>
      <w:proofErr w:type="gramEnd"/>
      <w:r w:rsidRPr="0034648D">
        <w:rPr>
          <w:sz w:val="28"/>
          <w:szCs w:val="28"/>
          <w:shd w:val="clear" w:color="auto" w:fill="FFFFFF"/>
        </w:rPr>
        <w:t>ере закупок».</w:t>
      </w:r>
    </w:p>
    <w:p w:rsidR="0034648D" w:rsidRPr="0034648D" w:rsidRDefault="0034648D" w:rsidP="0034648D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34648D" w:rsidRPr="0034648D" w:rsidRDefault="0034648D" w:rsidP="0034648D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2. Основные итоги и особенности деятельности</w:t>
      </w:r>
    </w:p>
    <w:p w:rsidR="0034648D" w:rsidRPr="0034648D" w:rsidRDefault="0034648D" w:rsidP="0034648D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34648D" w:rsidRPr="0034648D" w:rsidRDefault="0034648D" w:rsidP="0034648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 xml:space="preserve">В соответствии со статьей 12 Положения о Контрольно-счетной палате контрольная, экспертно-аналитическая, информационная и иные виды деятельности осуществлялись на основании плана работы на 2020 год, утвержденного приказом Контрольно-счетной палаты от 24 декабря 2019 года № 8-о (далее – План работы). </w:t>
      </w:r>
      <w:r w:rsidRPr="0034648D">
        <w:rPr>
          <w:color w:val="000000"/>
          <w:sz w:val="28"/>
          <w:szCs w:val="28"/>
        </w:rPr>
        <w:t>В течение 2020 года план работы Контрольно-счетной палаты корректировался по тематике контрольных мероприятий. Изменения вносились 2 раза (распоряжение от 24 марта 2020 года № 2-о, распоряжение от 20 мая 2020 года № 7-о).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Основными организационными формами осуществления Контрольно-счетной палатой внешнего муниципального финансового контроля являются </w:t>
      </w:r>
      <w:r w:rsidRPr="0034648D">
        <w:rPr>
          <w:sz w:val="28"/>
          <w:szCs w:val="28"/>
          <w:shd w:val="clear" w:color="auto" w:fill="FFFFFF"/>
        </w:rPr>
        <w:t xml:space="preserve">контрольные и экспертно-аналитические мероприятия, связанные с решением задач, вытекающих из требований законодательства Российской </w:t>
      </w:r>
      <w:r w:rsidRPr="0034648D">
        <w:rPr>
          <w:sz w:val="28"/>
          <w:szCs w:val="28"/>
        </w:rPr>
        <w:t>Федерации о бюджетной политике в соответствующем году.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В рамках каждого мероприятия анализировалось соблюдение требований законодательства в сфере бюджетных правоотношений. Особое внимание уделено реализации полномочий по аудиту в сфере закупок, предусмотренных статьей 98 Федерального закона "О контрактной системе в сфере закупок товаров, работ, услуг для обеспечения государств</w:t>
      </w:r>
      <w:r>
        <w:rPr>
          <w:sz w:val="28"/>
          <w:szCs w:val="28"/>
          <w:shd w:val="clear" w:color="auto" w:fill="FFFFFF"/>
        </w:rPr>
        <w:t xml:space="preserve">енных и муниципальных нужд" от </w:t>
      </w:r>
      <w:r w:rsidRPr="0034648D">
        <w:rPr>
          <w:sz w:val="28"/>
          <w:szCs w:val="28"/>
          <w:shd w:val="clear" w:color="auto" w:fill="FFFFFF"/>
        </w:rPr>
        <w:t>5 апреля 2013 года N 44-ФЗ (далее - № 44-ФЗ).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Согласно плану, в 2020 году было проведено 11 контрольных мероприятий. По результатам контрольных мероприятий составлено 9 актов,</w:t>
      </w:r>
      <w:r>
        <w:rPr>
          <w:sz w:val="28"/>
          <w:szCs w:val="28"/>
          <w:shd w:val="clear" w:color="auto" w:fill="FFFFFF"/>
        </w:rPr>
        <w:t xml:space="preserve"> </w:t>
      </w:r>
      <w:r w:rsidRPr="0034648D">
        <w:rPr>
          <w:sz w:val="28"/>
          <w:szCs w:val="28"/>
          <w:shd w:val="clear" w:color="auto" w:fill="FFFFFF"/>
        </w:rPr>
        <w:t>1 справка и по внешней проверке бюджетной отчетности главных администраторов бюджетных средств составлены 11 заключений.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 xml:space="preserve">Кроме того, проведено 50 экспертно-аналитических мероприятий, по </w:t>
      </w:r>
      <w:r w:rsidRPr="0034648D">
        <w:rPr>
          <w:sz w:val="28"/>
          <w:szCs w:val="28"/>
          <w:shd w:val="clear" w:color="auto" w:fill="FFFFFF"/>
        </w:rPr>
        <w:lastRenderedPageBreak/>
        <w:t>которым подготовлены заключения, из них 40 заключений на проекты решений Думы Нефтекумского городского округа и 10 заключений на проекты постановлений администрации Нефтекумского городского округа об утверждении муниципальных программ Нефтекумского городского округа.</w:t>
      </w:r>
    </w:p>
    <w:p w:rsidR="0034648D" w:rsidRPr="0034648D" w:rsidRDefault="0034648D" w:rsidP="00372DA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 xml:space="preserve">За отчетный период контрольными мероприятиями было охвачено 18 объектов, объем проверенных средств, составил </w:t>
      </w:r>
      <w:r w:rsidRPr="0034648D">
        <w:rPr>
          <w:sz w:val="28"/>
          <w:szCs w:val="28"/>
        </w:rPr>
        <w:t xml:space="preserve">70 424,07 </w:t>
      </w:r>
      <w:r w:rsidRPr="0034648D">
        <w:rPr>
          <w:sz w:val="28"/>
          <w:szCs w:val="28"/>
          <w:shd w:val="clear" w:color="auto" w:fill="FFFFFF"/>
        </w:rPr>
        <w:t>тыс. рублей.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>Общий объем выявленных нарушений -</w:t>
      </w:r>
      <w:r w:rsidRPr="0034648D">
        <w:rPr>
          <w:sz w:val="28"/>
          <w:szCs w:val="28"/>
        </w:rPr>
        <w:t xml:space="preserve"> 5 341,50 тыс. рублей, из них: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>1) нарушения законодательства в сфере закупок товаров, работ, услуг для обеспечения государственных и муниципальных нужд на сумму 5 196,34 тыс. рублей;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2) нарушения ведения бухгалтерского учёта и бюджетной отчётности на сумму 145 160,00 </w:t>
      </w:r>
      <w:r>
        <w:rPr>
          <w:sz w:val="28"/>
          <w:szCs w:val="28"/>
        </w:rPr>
        <w:t>рублей.</w:t>
      </w:r>
    </w:p>
    <w:p w:rsidR="0034648D" w:rsidRPr="0034648D" w:rsidRDefault="0034648D" w:rsidP="0034648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34648D">
        <w:rPr>
          <w:rFonts w:eastAsia="Calibri"/>
          <w:sz w:val="28"/>
          <w:szCs w:val="28"/>
        </w:rPr>
        <w:t>Информация по видам выявленных нарушений и по объектам проверок представлена в таблице № 1.</w:t>
      </w:r>
    </w:p>
    <w:p w:rsidR="0034648D" w:rsidRPr="0034648D" w:rsidRDefault="0034648D" w:rsidP="0034648D">
      <w:pPr>
        <w:tabs>
          <w:tab w:val="left" w:pos="993"/>
        </w:tabs>
        <w:ind w:left="709"/>
        <w:contextualSpacing/>
        <w:jc w:val="right"/>
        <w:rPr>
          <w:rFonts w:eastAsia="Calibri"/>
          <w:szCs w:val="23"/>
        </w:rPr>
      </w:pPr>
      <w:r w:rsidRPr="0034648D">
        <w:rPr>
          <w:rFonts w:eastAsia="Calibri"/>
          <w:szCs w:val="23"/>
        </w:rPr>
        <w:t>Таблица № 1</w:t>
      </w:r>
    </w:p>
    <w:tbl>
      <w:tblPr>
        <w:tblW w:w="5000" w:type="pct"/>
        <w:tblLook w:val="04A0"/>
      </w:tblPr>
      <w:tblGrid>
        <w:gridCol w:w="2507"/>
        <w:gridCol w:w="5369"/>
        <w:gridCol w:w="1694"/>
      </w:tblGrid>
      <w:tr w:rsidR="0034648D" w:rsidRPr="0034648D" w:rsidTr="0076485A">
        <w:trPr>
          <w:trHeight w:val="540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Вид нарушения</w:t>
            </w:r>
          </w:p>
        </w:tc>
        <w:tc>
          <w:tcPr>
            <w:tcW w:w="2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Наименование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Сумма выявленных нарушений, тыс. рублей</w:t>
            </w:r>
          </w:p>
        </w:tc>
      </w:tr>
      <w:tr w:rsidR="0034648D" w:rsidRPr="0034648D" w:rsidTr="0076485A">
        <w:trPr>
          <w:trHeight w:val="691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</w:tr>
      <w:tr w:rsidR="0034648D" w:rsidRPr="0034648D" w:rsidTr="0076485A">
        <w:trPr>
          <w:trHeight w:val="345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1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3</w:t>
            </w:r>
          </w:p>
        </w:tc>
      </w:tr>
      <w:tr w:rsidR="0034648D" w:rsidRPr="0034648D" w:rsidTr="0076485A">
        <w:trPr>
          <w:trHeight w:val="551"/>
        </w:trPr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Нарушения при осуществлении закупок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rPr>
                <w:color w:val="000000"/>
              </w:rPr>
              <w:t>МКУ «Молодежный центр»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24,70</w:t>
            </w:r>
          </w:p>
        </w:tc>
      </w:tr>
      <w:tr w:rsidR="0034648D" w:rsidRPr="0034648D" w:rsidTr="0076485A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rPr>
                <w:color w:val="000000"/>
              </w:rPr>
              <w:t xml:space="preserve">МКУ </w:t>
            </w:r>
            <w:proofErr w:type="gramStart"/>
            <w:r w:rsidRPr="0034648D">
              <w:rPr>
                <w:color w:val="000000"/>
              </w:rPr>
              <w:t>ДО</w:t>
            </w:r>
            <w:proofErr w:type="gramEnd"/>
            <w:r w:rsidRPr="0034648D">
              <w:rPr>
                <w:color w:val="000000"/>
              </w:rPr>
              <w:t xml:space="preserve"> "Детско-юношеская спортивная школа"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94,89</w:t>
            </w:r>
          </w:p>
        </w:tc>
      </w:tr>
      <w:tr w:rsidR="0034648D" w:rsidRPr="0034648D" w:rsidTr="0076485A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rPr>
                <w:color w:val="000000"/>
              </w:rPr>
              <w:t>Администрация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211,52</w:t>
            </w:r>
          </w:p>
        </w:tc>
      </w:tr>
      <w:tr w:rsidR="0034648D" w:rsidRPr="0034648D" w:rsidTr="0076485A">
        <w:trPr>
          <w:trHeight w:val="418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rPr>
                <w:color w:val="000000"/>
              </w:rPr>
              <w:t>МКДОУ Д/С № 6 "</w:t>
            </w:r>
            <w:proofErr w:type="spellStart"/>
            <w:r w:rsidRPr="0034648D">
              <w:rPr>
                <w:color w:val="000000"/>
              </w:rPr>
              <w:t>Журавушка</w:t>
            </w:r>
            <w:proofErr w:type="spellEnd"/>
            <w:r w:rsidRPr="0034648D">
              <w:rPr>
                <w:color w:val="000000"/>
              </w:rPr>
              <w:t>"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2 715,58</w:t>
            </w:r>
          </w:p>
        </w:tc>
      </w:tr>
      <w:tr w:rsidR="0034648D" w:rsidRPr="0034648D" w:rsidTr="0076485A">
        <w:trPr>
          <w:trHeight w:val="369"/>
        </w:trPr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rPr>
                <w:color w:val="000000"/>
              </w:rPr>
              <w:t>МКОУ СОШ № 14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2 149,63</w:t>
            </w:r>
          </w:p>
        </w:tc>
      </w:tr>
      <w:tr w:rsidR="0034648D" w:rsidRPr="0034648D" w:rsidTr="0076485A">
        <w:trPr>
          <w:trHeight w:val="6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bCs/>
                <w:color w:val="000000"/>
              </w:rPr>
            </w:pPr>
            <w:r w:rsidRPr="0034648D">
              <w:rPr>
                <w:bCs/>
                <w:color w:val="000000"/>
              </w:rPr>
              <w:t>Итого:</w:t>
            </w:r>
          </w:p>
        </w:tc>
        <w:tc>
          <w:tcPr>
            <w:tcW w:w="2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bCs/>
                <w:color w:val="000000"/>
              </w:rPr>
            </w:pPr>
            <w:proofErr w:type="spellStart"/>
            <w:r w:rsidRPr="0034648D">
              <w:rPr>
                <w:bCs/>
                <w:color w:val="000000"/>
              </w:rPr>
              <w:t>х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5 196,34</w:t>
            </w:r>
          </w:p>
        </w:tc>
      </w:tr>
      <w:tr w:rsidR="0034648D" w:rsidRPr="0034648D" w:rsidTr="0076485A">
        <w:trPr>
          <w:trHeight w:val="449"/>
        </w:trPr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Нарушения ведения бух</w:t>
            </w:r>
            <w:proofErr w:type="gramStart"/>
            <w:r w:rsidRPr="0034648D">
              <w:rPr>
                <w:color w:val="000000"/>
              </w:rPr>
              <w:t>.</w:t>
            </w:r>
            <w:proofErr w:type="gramEnd"/>
            <w:r w:rsidRPr="0034648D">
              <w:rPr>
                <w:color w:val="000000"/>
              </w:rPr>
              <w:t xml:space="preserve"> </w:t>
            </w:r>
            <w:proofErr w:type="gramStart"/>
            <w:r w:rsidRPr="0034648D">
              <w:rPr>
                <w:color w:val="000000"/>
              </w:rPr>
              <w:t>у</w:t>
            </w:r>
            <w:proofErr w:type="gramEnd"/>
            <w:r w:rsidRPr="0034648D">
              <w:rPr>
                <w:color w:val="000000"/>
              </w:rPr>
              <w:t>чёта и бюджетной отчётности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rPr>
                <w:spacing w:val="2"/>
              </w:rPr>
              <w:t xml:space="preserve">МКУ </w:t>
            </w:r>
            <w:proofErr w:type="gramStart"/>
            <w:r w:rsidRPr="0034648D">
              <w:rPr>
                <w:spacing w:val="2"/>
              </w:rPr>
              <w:t>ДО</w:t>
            </w:r>
            <w:proofErr w:type="gramEnd"/>
            <w:r w:rsidRPr="0034648D">
              <w:rPr>
                <w:spacing w:val="2"/>
              </w:rPr>
              <w:t xml:space="preserve"> "Детско-юношеская спортивная школа" НГО СК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2,6</w:t>
            </w:r>
          </w:p>
        </w:tc>
      </w:tr>
      <w:tr w:rsidR="0034648D" w:rsidRPr="0034648D" w:rsidTr="0076485A">
        <w:trPr>
          <w:trHeight w:val="454"/>
        </w:trPr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t>МКДОУ Д/С № 6 "</w:t>
            </w:r>
            <w:proofErr w:type="spellStart"/>
            <w:r w:rsidRPr="0034648D">
              <w:t>Журавушка</w:t>
            </w:r>
            <w:proofErr w:type="spellEnd"/>
            <w:r w:rsidRPr="0034648D">
              <w:t>"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rPr>
                <w:color w:val="000000"/>
              </w:rPr>
              <w:t>1,6</w:t>
            </w:r>
          </w:p>
        </w:tc>
      </w:tr>
      <w:tr w:rsidR="0034648D" w:rsidRPr="0034648D" w:rsidTr="0076485A">
        <w:trPr>
          <w:trHeight w:val="945"/>
        </w:trPr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color w:val="000000"/>
              </w:rPr>
            </w:pPr>
            <w:r w:rsidRPr="0034648D">
              <w:t>МКОУ СОШ № 14 а. Тукуй-Мектеб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color w:val="000000"/>
              </w:rPr>
            </w:pPr>
            <w:r w:rsidRPr="0034648D">
              <w:t>140,96</w:t>
            </w:r>
          </w:p>
        </w:tc>
      </w:tr>
      <w:tr w:rsidR="0034648D" w:rsidRPr="0034648D" w:rsidTr="0076485A">
        <w:trPr>
          <w:trHeight w:val="317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bCs/>
                <w:color w:val="000000"/>
              </w:rPr>
            </w:pPr>
            <w:r w:rsidRPr="0034648D">
              <w:rPr>
                <w:bCs/>
                <w:color w:val="000000"/>
              </w:rPr>
              <w:t>Итого: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bCs/>
                <w:color w:val="000000"/>
              </w:rPr>
            </w:pPr>
            <w:proofErr w:type="spellStart"/>
            <w:r w:rsidRPr="0034648D">
              <w:rPr>
                <w:bCs/>
                <w:color w:val="000000"/>
              </w:rPr>
              <w:t>х</w:t>
            </w:r>
            <w:proofErr w:type="spellEnd"/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</w:pPr>
            <w:r w:rsidRPr="0034648D">
              <w:t>145,16</w:t>
            </w:r>
          </w:p>
        </w:tc>
      </w:tr>
      <w:tr w:rsidR="0034648D" w:rsidRPr="0034648D" w:rsidTr="0076485A">
        <w:trPr>
          <w:trHeight w:val="40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rPr>
                <w:bCs/>
                <w:color w:val="000000"/>
              </w:rPr>
            </w:pPr>
            <w:r w:rsidRPr="0034648D">
              <w:rPr>
                <w:bCs/>
                <w:color w:val="000000"/>
              </w:rPr>
              <w:t>Всего: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  <w:rPr>
                <w:bCs/>
                <w:color w:val="000000"/>
              </w:rPr>
            </w:pPr>
            <w:proofErr w:type="spellStart"/>
            <w:r w:rsidRPr="0034648D">
              <w:rPr>
                <w:bCs/>
                <w:color w:val="000000"/>
              </w:rPr>
              <w:t>х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8D" w:rsidRPr="0034648D" w:rsidRDefault="0034648D" w:rsidP="0034648D">
            <w:pPr>
              <w:jc w:val="center"/>
            </w:pPr>
            <w:r w:rsidRPr="0034648D">
              <w:t>5 341,50</w:t>
            </w:r>
          </w:p>
        </w:tc>
      </w:tr>
    </w:tbl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Руководителям учреждений для принятия мер по устранению выявленных нарушений Контрольно-счетной палатой было предложено устранить и принять меры по тщательному разбору причин нарушения требований законодательства, с определением мер ответственности к лицам, допустившим указанные нарушения.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Копии актов и материалы по результатам проведенных 3 контрольных мероприятий за 2020 год были направлены в прокуратуру Нефтекумского района.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lastRenderedPageBreak/>
        <w:t xml:space="preserve">Контрольно-счетной палатой реализованы полномочия по составлению протоколов об административных правонарушениях. В отчетном периоде составлен 1 протокол по статье 19.7 </w:t>
      </w:r>
      <w:proofErr w:type="spellStart"/>
      <w:r w:rsidRPr="0034648D">
        <w:rPr>
          <w:sz w:val="28"/>
          <w:szCs w:val="28"/>
        </w:rPr>
        <w:t>КоАП</w:t>
      </w:r>
      <w:proofErr w:type="spellEnd"/>
      <w:r w:rsidRPr="0034648D">
        <w:rPr>
          <w:sz w:val="28"/>
          <w:szCs w:val="28"/>
        </w:rPr>
        <w:t xml:space="preserve"> РФ, предусматривающий административную ответственность за непредставление или несвоевременное представление сведений (информации), либо представление таких сведений (информации) в неполном объеме или в искаженном виде.</w:t>
      </w:r>
    </w:p>
    <w:p w:rsidR="0034648D" w:rsidRPr="0034648D" w:rsidRDefault="0034648D" w:rsidP="0034648D">
      <w:pPr>
        <w:jc w:val="center"/>
        <w:rPr>
          <w:b/>
          <w:color w:val="000000"/>
          <w:sz w:val="28"/>
          <w:szCs w:val="28"/>
        </w:rPr>
      </w:pPr>
    </w:p>
    <w:p w:rsidR="0034648D" w:rsidRPr="0034648D" w:rsidRDefault="0034648D" w:rsidP="0034648D">
      <w:pPr>
        <w:jc w:val="center"/>
        <w:rPr>
          <w:b/>
          <w:color w:val="000000"/>
          <w:sz w:val="28"/>
          <w:szCs w:val="28"/>
        </w:rPr>
      </w:pPr>
      <w:r w:rsidRPr="0034648D">
        <w:rPr>
          <w:b/>
          <w:color w:val="000000"/>
          <w:sz w:val="28"/>
          <w:szCs w:val="28"/>
        </w:rPr>
        <w:t>3. Контрольная деятельность</w:t>
      </w:r>
    </w:p>
    <w:p w:rsidR="0034648D" w:rsidRPr="0034648D" w:rsidRDefault="0034648D" w:rsidP="0034648D">
      <w:pPr>
        <w:jc w:val="center"/>
        <w:rPr>
          <w:b/>
          <w:color w:val="000000"/>
          <w:sz w:val="28"/>
          <w:szCs w:val="28"/>
        </w:rPr>
      </w:pP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В 2020 году, как и в прежние годы, контрольная деятельность являлась основным видом деятельности Контрольно-счетной палаты.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При проведении контрольных мероприятий осуществлялся анализ достоверности ведения учреждениями бухгалтерского учета и составления финансовой отчётности. В рамках проводимых мероприятий уделялось внимание внутреннему контролю.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В соответствии с планом работы на 2020 год Контрольно-счетной палатой были проведены следующие контрольные мероприятия: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color w:val="000000"/>
          <w:sz w:val="28"/>
          <w:szCs w:val="28"/>
        </w:rPr>
        <w:t xml:space="preserve">1) </w:t>
      </w:r>
      <w:r w:rsidRPr="0034648D">
        <w:rPr>
          <w:sz w:val="28"/>
          <w:szCs w:val="28"/>
        </w:rPr>
        <w:t>проверка использования средств, выделенных на реализацию муниципальной программы «Молодежная политика» (с элементами аудита в сфере закупок).</w:t>
      </w:r>
    </w:p>
    <w:p w:rsidR="0034648D" w:rsidRPr="0034648D" w:rsidRDefault="0034648D" w:rsidP="0034648D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4648D">
        <w:rPr>
          <w:rFonts w:eastAsia="Calibri"/>
          <w:bCs/>
          <w:color w:val="000000"/>
          <w:sz w:val="28"/>
          <w:szCs w:val="28"/>
        </w:rPr>
        <w:t xml:space="preserve">Объем </w:t>
      </w:r>
      <w:proofErr w:type="gramStart"/>
      <w:r w:rsidRPr="0034648D">
        <w:rPr>
          <w:rFonts w:eastAsia="Calibri"/>
          <w:bCs/>
          <w:color w:val="000000"/>
          <w:sz w:val="28"/>
          <w:szCs w:val="28"/>
        </w:rPr>
        <w:t>денежных средств, охваченных контрольным мероприятием</w:t>
      </w:r>
      <w:r w:rsidRPr="0034648D">
        <w:rPr>
          <w:sz w:val="28"/>
          <w:szCs w:val="28"/>
        </w:rPr>
        <w:t xml:space="preserve"> </w:t>
      </w:r>
      <w:r w:rsidRPr="0034648D">
        <w:rPr>
          <w:rFonts w:eastAsia="Calibri"/>
          <w:bCs/>
          <w:color w:val="000000"/>
          <w:sz w:val="28"/>
          <w:szCs w:val="28"/>
        </w:rPr>
        <w:t>составил</w:t>
      </w:r>
      <w:proofErr w:type="gramEnd"/>
      <w:r w:rsidRPr="0034648D">
        <w:rPr>
          <w:rFonts w:eastAsia="Calibri"/>
          <w:bCs/>
          <w:color w:val="000000"/>
          <w:sz w:val="28"/>
          <w:szCs w:val="28"/>
        </w:rPr>
        <w:t xml:space="preserve"> </w:t>
      </w:r>
      <w:r w:rsidRPr="0034648D">
        <w:rPr>
          <w:sz w:val="28"/>
          <w:szCs w:val="28"/>
        </w:rPr>
        <w:t xml:space="preserve">1 526 220,00 </w:t>
      </w:r>
      <w:r w:rsidRPr="0034648D">
        <w:rPr>
          <w:rFonts w:eastAsia="Calibri"/>
          <w:bCs/>
          <w:color w:val="000000"/>
          <w:sz w:val="28"/>
          <w:szCs w:val="28"/>
        </w:rPr>
        <w:t>рублей.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bCs/>
          <w:sz w:val="28"/>
          <w:szCs w:val="28"/>
          <w:shd w:val="clear" w:color="auto" w:fill="FFFFFF"/>
        </w:rPr>
        <w:t>В результате контрольного мероприятия выявлено нарушений на сумму</w:t>
      </w:r>
      <w:r w:rsidRPr="0034648D">
        <w:rPr>
          <w:sz w:val="28"/>
          <w:szCs w:val="28"/>
        </w:rPr>
        <w:t xml:space="preserve"> 24 705,00 рублей</w:t>
      </w:r>
      <w:r w:rsidRPr="0034648D">
        <w:rPr>
          <w:bCs/>
          <w:sz w:val="28"/>
          <w:szCs w:val="28"/>
          <w:shd w:val="clear" w:color="auto" w:fill="FFFFFF"/>
        </w:rPr>
        <w:t xml:space="preserve"> из них</w:t>
      </w:r>
      <w:r w:rsidRPr="0034648D">
        <w:rPr>
          <w:sz w:val="28"/>
          <w:szCs w:val="28"/>
        </w:rPr>
        <w:t>: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нарушения пунктов 7, 9 статьи 17 № 44-ФЗ (несвоевременное утверждение и размещение на официальном сайте в сети «Интернет» </w:t>
      </w:r>
      <w:hyperlink r:id="rId8" w:history="1">
        <w:r w:rsidRPr="0034648D">
          <w:rPr>
            <w:sz w:val="28"/>
            <w:szCs w:val="28"/>
          </w:rPr>
          <w:t>www.zakupki.gov.ru</w:t>
        </w:r>
      </w:hyperlink>
      <w:r w:rsidRPr="0034648D">
        <w:rPr>
          <w:sz w:val="28"/>
          <w:szCs w:val="28"/>
        </w:rPr>
        <w:t xml:space="preserve"> плана закупок на 2019 год и плановый период 2020-2021 года) – 1 случай;</w:t>
      </w:r>
    </w:p>
    <w:p w:rsid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нарушения пунктов 10, 15 статьи 21 № 44-ФЗ (утверждение и размещение/опубликование в сети «Интернет» на официальном сайте в </w:t>
      </w:r>
      <w:hyperlink r:id="rId9" w:history="1">
        <w:r w:rsidRPr="0034648D">
          <w:rPr>
            <w:sz w:val="28"/>
            <w:szCs w:val="28"/>
          </w:rPr>
          <w:t>www.zakupki.gov.ru</w:t>
        </w:r>
      </w:hyperlink>
      <w:r w:rsidRPr="0034648D">
        <w:rPr>
          <w:sz w:val="28"/>
          <w:szCs w:val="28"/>
        </w:rPr>
        <w:t xml:space="preserve"> плана – графика закупок на 2019 год) – 1 случай</w:t>
      </w:r>
      <w:r>
        <w:rPr>
          <w:sz w:val="28"/>
          <w:szCs w:val="28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нарушения части 11 статьи 21 № 44-ФЗ (осуществление закупки без утвержденного заказчиком плана-графика закупок) – 5 случаев на сумму</w:t>
      </w:r>
      <w:r>
        <w:rPr>
          <w:sz w:val="28"/>
          <w:szCs w:val="28"/>
        </w:rPr>
        <w:t xml:space="preserve"> </w:t>
      </w:r>
      <w:r w:rsidRPr="0034648D">
        <w:rPr>
          <w:sz w:val="28"/>
          <w:szCs w:val="28"/>
        </w:rPr>
        <w:t>– 24 705,00 руб.</w:t>
      </w:r>
    </w:p>
    <w:p w:rsidR="0034648D" w:rsidRPr="0034648D" w:rsidRDefault="0034648D" w:rsidP="0034648D">
      <w:pPr>
        <w:ind w:firstLine="709"/>
        <w:jc w:val="both"/>
        <w:rPr>
          <w:rFonts w:eastAsia="Calibri"/>
          <w:sz w:val="28"/>
          <w:szCs w:val="28"/>
        </w:rPr>
      </w:pPr>
      <w:r w:rsidRPr="0034648D">
        <w:rPr>
          <w:sz w:val="28"/>
          <w:szCs w:val="28"/>
        </w:rPr>
        <w:t xml:space="preserve">Руководителю учреждения направлен </w:t>
      </w:r>
      <w:r w:rsidRPr="0034648D">
        <w:rPr>
          <w:rFonts w:eastAsia="Calibri"/>
          <w:bCs/>
          <w:color w:val="000000"/>
          <w:sz w:val="28"/>
          <w:szCs w:val="28"/>
        </w:rPr>
        <w:t>акт № 1 от 5 февраля 2020 года, в котором даны</w:t>
      </w:r>
      <w:r w:rsidRPr="0034648D">
        <w:rPr>
          <w:sz w:val="28"/>
          <w:szCs w:val="28"/>
        </w:rPr>
        <w:t xml:space="preserve"> рекомендации по усилению </w:t>
      </w:r>
      <w:proofErr w:type="gramStart"/>
      <w:r w:rsidRPr="0034648D">
        <w:rPr>
          <w:sz w:val="28"/>
          <w:szCs w:val="28"/>
        </w:rPr>
        <w:t>контроля за</w:t>
      </w:r>
      <w:proofErr w:type="gramEnd"/>
      <w:r w:rsidRPr="0034648D">
        <w:rPr>
          <w:sz w:val="28"/>
          <w:szCs w:val="28"/>
        </w:rPr>
        <w:t xml:space="preserve"> соблюдением </w:t>
      </w:r>
      <w:hyperlink r:id="rId10" w:history="1">
        <w:r w:rsidRPr="0034648D">
          <w:rPr>
            <w:sz w:val="28"/>
            <w:szCs w:val="28"/>
          </w:rPr>
          <w:t>требований</w:t>
        </w:r>
      </w:hyperlink>
      <w:r w:rsidRPr="0034648D">
        <w:rPr>
          <w:sz w:val="28"/>
          <w:szCs w:val="28"/>
        </w:rPr>
        <w:t xml:space="preserve"> к бухгалтерскому учету, при принятии к учету первичных документов</w:t>
      </w:r>
      <w:r w:rsidRPr="0034648D">
        <w:rPr>
          <w:rFonts w:eastAsia="Calibri"/>
          <w:sz w:val="28"/>
          <w:szCs w:val="28"/>
        </w:rPr>
        <w:t xml:space="preserve"> и за соблюдением законодательства о контрактной системе в сфере закупок товаров, работ и услуг.</w:t>
      </w:r>
    </w:p>
    <w:p w:rsidR="0034648D" w:rsidRPr="0034648D" w:rsidRDefault="0034648D" w:rsidP="0034648D">
      <w:pPr>
        <w:ind w:firstLine="709"/>
        <w:jc w:val="both"/>
        <w:rPr>
          <w:bCs/>
          <w:sz w:val="28"/>
          <w:szCs w:val="28"/>
          <w:lang w:eastAsia="ar-SA"/>
        </w:rPr>
      </w:pPr>
      <w:r w:rsidRPr="0034648D">
        <w:rPr>
          <w:bCs/>
          <w:sz w:val="28"/>
          <w:szCs w:val="28"/>
          <w:lang w:eastAsia="ar-SA"/>
        </w:rPr>
        <w:t xml:space="preserve">В установленные сроки поступила </w:t>
      </w:r>
      <w:r w:rsidR="00372DA7">
        <w:rPr>
          <w:bCs/>
          <w:sz w:val="28"/>
          <w:szCs w:val="28"/>
          <w:lang w:eastAsia="ar-SA"/>
        </w:rPr>
        <w:t>информация о проделанной работе;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2) проверка финансово–хозяйственной деятельности Муниципального казенного учреждения дополнительного образования "Детско-юношеская спортивная школа" Нефтекумского городского округа Ставропольского края (далее «детско-юношеская спортивная школа») (с элементами аудита в сфере закупок).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Контрольным мероприятием за проверяемый период 2019 года</w:t>
      </w:r>
      <w:r w:rsidRPr="0034648D">
        <w:rPr>
          <w:rFonts w:eastAsia="Calibri"/>
          <w:bCs/>
          <w:color w:val="000000"/>
          <w:sz w:val="28"/>
          <w:szCs w:val="28"/>
        </w:rPr>
        <w:t xml:space="preserve"> </w:t>
      </w:r>
      <w:r w:rsidRPr="0034648D">
        <w:rPr>
          <w:sz w:val="28"/>
          <w:szCs w:val="28"/>
        </w:rPr>
        <w:t>установлено нарушений на сумму 97 495,99 рублей, в том числе: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lastRenderedPageBreak/>
        <w:t xml:space="preserve">нарушения пунктов 10, 15 статьи 21 № 44-ФЗ (утверждение и размещение/опубликование в сети «Интернет» на официальном сайте в </w:t>
      </w:r>
      <w:hyperlink r:id="rId11" w:history="1">
        <w:r w:rsidRPr="0034648D">
          <w:rPr>
            <w:sz w:val="28"/>
            <w:szCs w:val="28"/>
          </w:rPr>
          <w:t>www.zakupki.gov.ru</w:t>
        </w:r>
      </w:hyperlink>
      <w:r w:rsidRPr="0034648D">
        <w:rPr>
          <w:sz w:val="28"/>
          <w:szCs w:val="28"/>
        </w:rPr>
        <w:t xml:space="preserve"> плана – графика закупок на 2019 год) – 1 случай;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48D">
        <w:rPr>
          <w:sz w:val="28"/>
          <w:szCs w:val="28"/>
        </w:rPr>
        <w:t xml:space="preserve">нарушение </w:t>
      </w:r>
      <w:r w:rsidRPr="0034648D">
        <w:rPr>
          <w:color w:val="000000"/>
          <w:sz w:val="28"/>
          <w:szCs w:val="28"/>
          <w:shd w:val="clear" w:color="auto" w:fill="FFFFFF"/>
        </w:rPr>
        <w:t xml:space="preserve">ст. 16 </w:t>
      </w:r>
      <w:r w:rsidRPr="0034648D">
        <w:rPr>
          <w:sz w:val="28"/>
          <w:szCs w:val="28"/>
          <w:shd w:val="clear" w:color="auto" w:fill="FFFFFF"/>
        </w:rPr>
        <w:t>закона № 44-ФЗ</w:t>
      </w:r>
      <w:r w:rsidRPr="0034648D">
        <w:rPr>
          <w:color w:val="000000"/>
          <w:sz w:val="28"/>
          <w:szCs w:val="28"/>
          <w:shd w:val="clear" w:color="auto" w:fill="FFFFFF"/>
        </w:rPr>
        <w:t>, ст. 72 БК РФ (осуществление закупок сверх плана-графика) – 1 случай на сумму 94 895,99 рублей;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нарушения ведения бухгалтерского учёта и бюджетной отчётности – </w:t>
      </w:r>
      <w:r w:rsidRPr="0034648D">
        <w:rPr>
          <w:color w:val="000000"/>
          <w:sz w:val="28"/>
          <w:szCs w:val="28"/>
          <w:shd w:val="clear" w:color="auto" w:fill="FFFFFF"/>
        </w:rPr>
        <w:t>на сумму 2 600,00 рублей</w:t>
      </w:r>
      <w:r w:rsidRPr="0034648D">
        <w:rPr>
          <w:sz w:val="28"/>
          <w:szCs w:val="28"/>
        </w:rPr>
        <w:t>.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bCs/>
          <w:sz w:val="28"/>
          <w:szCs w:val="28"/>
          <w:lang w:eastAsia="ar-SA"/>
        </w:rPr>
      </w:pPr>
      <w:r w:rsidRPr="0034648D">
        <w:rPr>
          <w:bCs/>
          <w:sz w:val="28"/>
          <w:szCs w:val="28"/>
          <w:lang w:eastAsia="ar-SA"/>
        </w:rPr>
        <w:t xml:space="preserve">По результатам проведенного контрольного мероприятия в адрес руководителя проверенного объекта был направлен </w:t>
      </w:r>
      <w:r w:rsidRPr="0034648D">
        <w:rPr>
          <w:rFonts w:eastAsia="Calibri"/>
          <w:bCs/>
          <w:color w:val="000000"/>
          <w:sz w:val="28"/>
          <w:szCs w:val="28"/>
        </w:rPr>
        <w:t>акт № 2 от 4 марта 2020 года</w:t>
      </w:r>
      <w:r w:rsidRPr="0034648D">
        <w:rPr>
          <w:bCs/>
          <w:sz w:val="28"/>
          <w:szCs w:val="28"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дальнейшем.</w:t>
      </w:r>
    </w:p>
    <w:p w:rsidR="0034648D" w:rsidRPr="0034648D" w:rsidRDefault="0034648D" w:rsidP="0034648D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34648D">
        <w:rPr>
          <w:rFonts w:eastAsia="Arial Unicode MS"/>
          <w:kern w:val="3"/>
          <w:sz w:val="28"/>
          <w:szCs w:val="28"/>
        </w:rPr>
        <w:t>Начальнику отдела образования администрации Нефтекумского городского округа направлена копия акта для рассмотрения результатов проверки, и принятия соответствующих мер реагирования. Информация по проведению мероприятий по устранению недостатков представлена по срокам их предоставления.</w:t>
      </w:r>
      <w:r w:rsidRPr="0034648D">
        <w:rPr>
          <w:color w:val="000000"/>
          <w:sz w:val="28"/>
          <w:szCs w:val="28"/>
        </w:rPr>
        <w:t xml:space="preserve"> Объявлено замечание директору детско-юношеской спортивной школы (приказ № 41-к от 13 марта 2020 года)</w:t>
      </w:r>
      <w:r w:rsidR="00372DA7">
        <w:rPr>
          <w:color w:val="000000"/>
          <w:sz w:val="28"/>
          <w:szCs w:val="28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</w:rPr>
        <w:t xml:space="preserve">3) </w:t>
      </w:r>
      <w:r w:rsidRPr="0034648D">
        <w:rPr>
          <w:sz w:val="28"/>
          <w:szCs w:val="28"/>
          <w:shd w:val="clear" w:color="auto" w:fill="FFFFFF"/>
        </w:rPr>
        <w:t>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Нефтекумского городского округа за 2019 год.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Объектами контрольных мероприятий стали 11 главных распорядителей средств бюджета Нефтекумского городского округа (далее – ГРБС).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  <w:shd w:val="clear" w:color="auto" w:fill="FFFFFF"/>
        </w:rPr>
        <w:t>Цель проверки – дать оценку достоверности годовой бюджетной отчетности и отчетности об исполнении бюджета Нефтекумского городского округа.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>Состав представленной годовой бюджетной отчетности в целом содержал полный объем форм для оценки результатов бюджетной деятельности каждого субъекта отчетности.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>По итогам внешней проверки оформлено 11 заключений (по каждому ГРБС), в которых отражены замечания, не содержащие существенных искажений бюджетной отчетности и не повлиявшие на достоверность и финансовый результат.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bCs/>
          <w:sz w:val="28"/>
          <w:szCs w:val="28"/>
          <w:shd w:val="clear" w:color="auto" w:fill="FFFFFF"/>
        </w:rPr>
        <w:t>До всех главных администраторов бюджетных средств были доведены результаты проверок для проведения анализа выявленных нарушений и проведению мероприятий по устранению недостатков в формах годовой отчетности</w:t>
      </w:r>
      <w:r w:rsidR="00372DA7">
        <w:rPr>
          <w:bCs/>
          <w:sz w:val="28"/>
          <w:szCs w:val="28"/>
          <w:shd w:val="clear" w:color="auto" w:fill="FFFFFF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 xml:space="preserve">4) </w:t>
      </w:r>
      <w:r w:rsidRPr="0034648D">
        <w:rPr>
          <w:sz w:val="28"/>
          <w:szCs w:val="28"/>
        </w:rPr>
        <w:t>проверка законности и результативности использования бюджетных средств, выделенных на реализацию муниципальной программы «Общественная безопасность и защита населения и территорий от чрезвычайных ситуаций» (с элементами аудита в сфере закупок).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Объем бюджетных средств направленных в 2019 году на реализацию муниципальной программы составил </w:t>
      </w:r>
      <w:r w:rsidRPr="0034648D">
        <w:rPr>
          <w:color w:val="000000"/>
          <w:sz w:val="28"/>
          <w:szCs w:val="28"/>
        </w:rPr>
        <w:t>8 567 460,00</w:t>
      </w:r>
      <w:r w:rsidRPr="0034648D">
        <w:rPr>
          <w:sz w:val="28"/>
          <w:szCs w:val="28"/>
        </w:rPr>
        <w:t xml:space="preserve"> рублей.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Настоящей проверкой установлено нарушений на сумму 211 525,00 руб. с учетом результатов проведенного аудита, в том числе: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lastRenderedPageBreak/>
        <w:t>нарушения сроков оплаты муниципальных контрактов – 6 случаев на сумму – 157 765,00 рублей;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нарушения сроков размещения документов о приемке работ, установленные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 3, п. 13 ч.2 ст. 103 № 44-ФЗ – 1 случай на сумму – 53 760,00 рублей;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технические ошибки при составлении дополнительных соглашений к контрактам – 2 случая;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нарушение п.1 ч.1 ст. 94, ч. 7 ст.95 № 44-ФЗ (ухудшение качества, технических и функциональных характеристик поставленного товара по муниципальному контракту №</w:t>
      </w:r>
      <w:r>
        <w:rPr>
          <w:sz w:val="28"/>
          <w:szCs w:val="28"/>
        </w:rPr>
        <w:t xml:space="preserve"> </w:t>
      </w:r>
      <w:r w:rsidRPr="0034648D">
        <w:rPr>
          <w:sz w:val="28"/>
          <w:szCs w:val="28"/>
        </w:rPr>
        <w:t>0121600009418000192-0963970-02 от 6 февраля 2019 года на выполнение работ по капитальному ремонту здания депо пожарной части поселка Затеречный Нефтекумского городского округа Ставропольского края) – 3 случая;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48D">
        <w:rPr>
          <w:color w:val="000000"/>
          <w:sz w:val="28"/>
          <w:szCs w:val="28"/>
          <w:shd w:val="clear" w:color="auto" w:fill="FFFFFF"/>
        </w:rPr>
        <w:t xml:space="preserve">нарушение требований </w:t>
      </w:r>
      <w:proofErr w:type="spellStart"/>
      <w:r w:rsidRPr="0034648D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34648D">
        <w:rPr>
          <w:color w:val="000000"/>
          <w:sz w:val="28"/>
          <w:szCs w:val="28"/>
          <w:shd w:val="clear" w:color="auto" w:fill="FFFFFF"/>
        </w:rPr>
        <w:t xml:space="preserve">. «б» п.1 ч.1 ст. 95 № 44-ФЗ (изменение цены контракта свыше 10,0% по </w:t>
      </w:r>
      <w:r w:rsidRPr="0034648D">
        <w:rPr>
          <w:sz w:val="28"/>
          <w:szCs w:val="28"/>
        </w:rPr>
        <w:t>муниципальному контракту №</w:t>
      </w:r>
      <w:r>
        <w:rPr>
          <w:sz w:val="28"/>
          <w:szCs w:val="28"/>
        </w:rPr>
        <w:t xml:space="preserve"> </w:t>
      </w:r>
      <w:r w:rsidRPr="0034648D">
        <w:rPr>
          <w:sz w:val="28"/>
          <w:szCs w:val="28"/>
        </w:rPr>
        <w:t>012</w:t>
      </w:r>
      <w:r>
        <w:rPr>
          <w:sz w:val="28"/>
          <w:szCs w:val="28"/>
        </w:rPr>
        <w:t xml:space="preserve">1600009418000192-0963970-02 от </w:t>
      </w:r>
      <w:r w:rsidRPr="0034648D">
        <w:rPr>
          <w:sz w:val="28"/>
          <w:szCs w:val="28"/>
        </w:rPr>
        <w:t>6 февраля 2019 года на выполнение работ по капитальному ремонту здания депо пожарной части поселка Затеречный Нефтекумского городского округа Ставропольского края</w:t>
      </w:r>
      <w:r w:rsidRPr="0034648D">
        <w:rPr>
          <w:color w:val="000000"/>
          <w:sz w:val="28"/>
          <w:szCs w:val="28"/>
          <w:shd w:val="clear" w:color="auto" w:fill="FFFFFF"/>
        </w:rPr>
        <w:t>) – 1 случай.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proofErr w:type="gramStart"/>
      <w:r w:rsidRPr="0034648D">
        <w:rPr>
          <w:sz w:val="28"/>
          <w:szCs w:val="28"/>
        </w:rPr>
        <w:t>По итогам контрольного мероприятия главе администрации Нефтекумского городского округа было предложено провести проверку по выявленным фактам нарушения законодательства о контрактной системе в сфере закупок, по результатам которых рассмотреть вопрос о привлечении к дисциплинарной ответственности должностных лиц, допустивших указанные нарушения, однако в Контрольно-счетную палату был направлен ответ о том, что должностные лица к дисциплинарной ответственности не привлекались.</w:t>
      </w:r>
      <w:proofErr w:type="gramEnd"/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Материалы по данному контрольному мероприятию были направлены в прокуратуру Нефтекумского района. </w:t>
      </w:r>
      <w:proofErr w:type="gramStart"/>
      <w:r w:rsidRPr="0034648D">
        <w:rPr>
          <w:sz w:val="28"/>
          <w:szCs w:val="28"/>
        </w:rPr>
        <w:t>По результатам проведенной прокуратурой района проверки в отношении заказчика и подрядчика по муниципальному контракту №</w:t>
      </w:r>
      <w:r w:rsidR="0089374E">
        <w:rPr>
          <w:sz w:val="28"/>
          <w:szCs w:val="28"/>
        </w:rPr>
        <w:t xml:space="preserve"> </w:t>
      </w:r>
      <w:r w:rsidRPr="0034648D">
        <w:rPr>
          <w:sz w:val="28"/>
          <w:szCs w:val="28"/>
        </w:rPr>
        <w:t>012</w:t>
      </w:r>
      <w:r w:rsidR="0089374E">
        <w:rPr>
          <w:sz w:val="28"/>
          <w:szCs w:val="28"/>
        </w:rPr>
        <w:t xml:space="preserve">1600009418000192-0963970-02 от </w:t>
      </w:r>
      <w:r w:rsidRPr="0034648D">
        <w:rPr>
          <w:sz w:val="28"/>
          <w:szCs w:val="28"/>
        </w:rPr>
        <w:t xml:space="preserve">6 февраля 2019 года соответственно вынесены постановления о возбуждении дела об административном правонарушении, предусмотренном ч.4 ст. 7.32 </w:t>
      </w:r>
      <w:proofErr w:type="spellStart"/>
      <w:r w:rsidRPr="0034648D">
        <w:rPr>
          <w:sz w:val="28"/>
          <w:szCs w:val="28"/>
        </w:rPr>
        <w:t>КоАП</w:t>
      </w:r>
      <w:proofErr w:type="spellEnd"/>
      <w:r w:rsidRPr="0034648D">
        <w:rPr>
          <w:sz w:val="28"/>
          <w:szCs w:val="28"/>
        </w:rPr>
        <w:t xml:space="preserve"> РФ (</w:t>
      </w:r>
      <w:r w:rsidRPr="0034648D">
        <w:rPr>
          <w:color w:val="000000"/>
          <w:sz w:val="28"/>
          <w:szCs w:val="28"/>
          <w:shd w:val="clear" w:color="auto" w:fill="FFFFFF"/>
        </w:rPr>
        <w:t xml:space="preserve">Изменение условий контракта, в том числе увеличение цен товаров, работ, услуг, если возможность изменения условий контракта не предусмотрена </w:t>
      </w:r>
      <w:hyperlink r:id="rId12" w:anchor="dst101310" w:history="1">
        <w:r w:rsidRPr="0089374E">
          <w:rPr>
            <w:rStyle w:val="af3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9374E">
        <w:rPr>
          <w:sz w:val="28"/>
          <w:szCs w:val="28"/>
          <w:shd w:val="clear" w:color="auto" w:fill="FFFFFF"/>
        </w:rPr>
        <w:t xml:space="preserve"> </w:t>
      </w:r>
      <w:r w:rsidRPr="0034648D">
        <w:rPr>
          <w:color w:val="000000"/>
          <w:sz w:val="28"/>
          <w:szCs w:val="28"/>
          <w:shd w:val="clear" w:color="auto" w:fill="FFFFFF"/>
        </w:rPr>
        <w:t>РФ о контрактной системе в</w:t>
      </w:r>
      <w:proofErr w:type="gramEnd"/>
      <w:r w:rsidRPr="0034648D">
        <w:rPr>
          <w:color w:val="000000"/>
          <w:sz w:val="28"/>
          <w:szCs w:val="28"/>
          <w:shd w:val="clear" w:color="auto" w:fill="FFFFFF"/>
        </w:rPr>
        <w:t xml:space="preserve"> сфере закупок)</w:t>
      </w:r>
      <w:r w:rsidR="00372DA7">
        <w:rPr>
          <w:sz w:val="28"/>
          <w:szCs w:val="28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5) проверка финансово–хозяйственной деятельности Муниципального бюджетного учреждения Нефтекумского городского края Ставропольского края «Многофункциональный центр предоставления государственных и муниципальных услуг» (далее – «МФЦ») (с элементами аудита в сфере закупок).</w:t>
      </w:r>
    </w:p>
    <w:p w:rsidR="0034648D" w:rsidRPr="0034648D" w:rsidRDefault="0034648D" w:rsidP="003464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 xml:space="preserve">Сумма </w:t>
      </w:r>
      <w:proofErr w:type="gramStart"/>
      <w:r w:rsidRPr="0034648D">
        <w:rPr>
          <w:sz w:val="28"/>
          <w:szCs w:val="28"/>
          <w:shd w:val="clear" w:color="auto" w:fill="FFFFFF"/>
        </w:rPr>
        <w:t>денежных средств, охваченных контрольным мероприятием составила</w:t>
      </w:r>
      <w:proofErr w:type="gramEnd"/>
      <w:r w:rsidRPr="0034648D">
        <w:rPr>
          <w:sz w:val="28"/>
          <w:szCs w:val="28"/>
          <w:shd w:val="clear" w:color="auto" w:fill="FFFFFF"/>
        </w:rPr>
        <w:t xml:space="preserve"> </w:t>
      </w:r>
      <w:r w:rsidRPr="0034648D">
        <w:rPr>
          <w:sz w:val="28"/>
          <w:szCs w:val="28"/>
        </w:rPr>
        <w:t>13 196 101,63 рублей.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Настоящей проверкой за проверяемый период установлены нарушения с учетом результатов проведенного аудита, в том числе: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lastRenderedPageBreak/>
        <w:t>несоответствие с</w:t>
      </w:r>
      <w:r w:rsidRPr="0034648D">
        <w:rPr>
          <w:color w:val="000000"/>
          <w:sz w:val="28"/>
          <w:szCs w:val="28"/>
          <w:shd w:val="clear" w:color="auto" w:fill="FFFFFF"/>
        </w:rPr>
        <w:t>овокупного годового объема закупок (далее – СГОЗ),</w:t>
      </w:r>
      <w:r w:rsidRPr="0034648D">
        <w:rPr>
          <w:sz w:val="28"/>
          <w:szCs w:val="28"/>
        </w:rPr>
        <w:t xml:space="preserve"> предусмотренных в плане финансово-хозяйственной деятельности (далее – ПФХД), плане закупок и плане-графике Учреждения;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нарушение требований предусмотренных постановлением Правительства РФ от 17 марта 2015 года № 238 (несоответствие СГОЗ в отчете СМП и СОНКО с ПФХД);</w:t>
      </w:r>
    </w:p>
    <w:p w:rsidR="0034648D" w:rsidRPr="0034648D" w:rsidRDefault="0034648D" w:rsidP="0034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>нарушение требований, предъявляемых к оформлению фактов хозяйственной жизни учреждения первичными учетными документами – 2 случая на 23 000,00 рублей.</w:t>
      </w:r>
    </w:p>
    <w:p w:rsidR="0034648D" w:rsidRPr="0034648D" w:rsidRDefault="0034648D" w:rsidP="003464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648D">
        <w:rPr>
          <w:sz w:val="28"/>
          <w:szCs w:val="28"/>
        </w:rPr>
        <w:t>Руководителю «МФЦ» н</w:t>
      </w:r>
      <w:r w:rsidRPr="0034648D">
        <w:rPr>
          <w:color w:val="000000"/>
          <w:sz w:val="28"/>
          <w:szCs w:val="28"/>
        </w:rPr>
        <w:t>аправлен акт № 7 от 28 сентября 2020 года,</w:t>
      </w:r>
    </w:p>
    <w:p w:rsidR="0034648D" w:rsidRPr="0034648D" w:rsidRDefault="0034648D" w:rsidP="003464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4648D">
        <w:rPr>
          <w:sz w:val="28"/>
          <w:szCs w:val="28"/>
        </w:rPr>
        <w:t xml:space="preserve">даны рекомендации по усилению </w:t>
      </w:r>
      <w:proofErr w:type="gramStart"/>
      <w:r w:rsidRPr="0034648D">
        <w:rPr>
          <w:sz w:val="28"/>
          <w:szCs w:val="28"/>
        </w:rPr>
        <w:t>контроля за</w:t>
      </w:r>
      <w:proofErr w:type="gramEnd"/>
      <w:r w:rsidRPr="0034648D">
        <w:rPr>
          <w:sz w:val="28"/>
          <w:szCs w:val="28"/>
        </w:rPr>
        <w:t xml:space="preserve"> соблюдением </w:t>
      </w:r>
      <w:hyperlink r:id="rId13" w:history="1">
        <w:r w:rsidRPr="0034648D">
          <w:rPr>
            <w:sz w:val="28"/>
            <w:szCs w:val="28"/>
          </w:rPr>
          <w:t>требований</w:t>
        </w:r>
      </w:hyperlink>
      <w:r w:rsidRPr="0034648D">
        <w:rPr>
          <w:sz w:val="28"/>
          <w:szCs w:val="28"/>
        </w:rPr>
        <w:t xml:space="preserve"> к бухгалтерскому учету, при принятии к учету первичных документов,</w:t>
      </w:r>
      <w:r w:rsidRPr="0034648D">
        <w:rPr>
          <w:rFonts w:eastAsia="Calibri"/>
          <w:sz w:val="28"/>
          <w:szCs w:val="28"/>
        </w:rPr>
        <w:t xml:space="preserve"> и за соблюдением законодательства о контрактной системе в сфере закупок товаров, работ и услуг</w:t>
      </w:r>
      <w:r w:rsidR="00372DA7">
        <w:rPr>
          <w:rFonts w:eastAsia="Calibri"/>
          <w:sz w:val="28"/>
          <w:szCs w:val="28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6) проверка финансово–хозяйственной деятельности Муниципального казенного дошкольного образовательного учреждения детский сад № 6 "</w:t>
      </w:r>
      <w:proofErr w:type="spellStart"/>
      <w:r w:rsidRPr="0034648D">
        <w:rPr>
          <w:sz w:val="28"/>
          <w:szCs w:val="28"/>
        </w:rPr>
        <w:t>Журавушка</w:t>
      </w:r>
      <w:proofErr w:type="spellEnd"/>
      <w:r w:rsidRPr="0034648D">
        <w:rPr>
          <w:sz w:val="28"/>
          <w:szCs w:val="28"/>
        </w:rPr>
        <w:t>" (далее – детский сад № 6 «</w:t>
      </w:r>
      <w:proofErr w:type="spellStart"/>
      <w:r w:rsidRPr="0034648D">
        <w:rPr>
          <w:sz w:val="28"/>
          <w:szCs w:val="28"/>
        </w:rPr>
        <w:t>Журавушка</w:t>
      </w:r>
      <w:proofErr w:type="spellEnd"/>
      <w:r w:rsidRPr="0034648D">
        <w:rPr>
          <w:sz w:val="28"/>
          <w:szCs w:val="28"/>
        </w:rPr>
        <w:t>») (с элементами аудита в сфере закупок).</w:t>
      </w:r>
    </w:p>
    <w:p w:rsidR="0034648D" w:rsidRPr="0034648D" w:rsidRDefault="0034648D" w:rsidP="0034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В ходе контрольного мероприятия установлено нарушений на сумму 2 717 172,61</w:t>
      </w:r>
      <w:r w:rsidRPr="0034648D">
        <w:rPr>
          <w:color w:val="FF0000"/>
          <w:sz w:val="28"/>
          <w:szCs w:val="28"/>
        </w:rPr>
        <w:t xml:space="preserve"> </w:t>
      </w:r>
      <w:r w:rsidRPr="0034648D">
        <w:rPr>
          <w:sz w:val="28"/>
          <w:szCs w:val="28"/>
        </w:rPr>
        <w:t>рублей с учетом результатов проведенного аудита, в том числе: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 2 ст.72 БК РФ – на сумму 1 121 181,12 рублей;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нарушения сроков оплаты предусмотренных в муниципальных контрактах – 57 случаев на сумму 1 594 404,49 рублей;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48D">
        <w:rPr>
          <w:color w:val="000000"/>
          <w:sz w:val="28"/>
          <w:szCs w:val="28"/>
          <w:shd w:val="clear" w:color="auto" w:fill="FFFFFF"/>
        </w:rPr>
        <w:t xml:space="preserve">нарушение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 3 ст.103 № 44-ФЗ</w:t>
      </w:r>
      <w:r w:rsidRPr="0034648D">
        <w:rPr>
          <w:color w:val="000000"/>
          <w:sz w:val="28"/>
          <w:szCs w:val="28"/>
          <w:shd w:val="clear" w:color="auto" w:fill="FFFFFF"/>
        </w:rPr>
        <w:t xml:space="preserve"> – 70 случаев;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.4 ст.30 № 44-ФЗ</w:t>
      </w:r>
      <w:r w:rsidRPr="0034648D">
        <w:rPr>
          <w:color w:val="000000"/>
          <w:sz w:val="28"/>
          <w:szCs w:val="28"/>
          <w:shd w:val="clear" w:color="auto" w:fill="FFFFFF"/>
        </w:rPr>
        <w:t xml:space="preserve"> и Требований к заполнению формы отчетов предусмотренных постановлением Правительства РФ от 17 марта 2015 года № 238 – 5 случаев;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нарушение требований по оформлению фактов хозяйственной жизни первичными учетными документами - 1 случай на сумму 1 587,00 рублей.</w:t>
      </w:r>
    </w:p>
    <w:p w:rsidR="0034648D" w:rsidRPr="0034648D" w:rsidRDefault="0034648D" w:rsidP="0034648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648D">
        <w:rPr>
          <w:sz w:val="28"/>
          <w:szCs w:val="28"/>
          <w:shd w:val="clear" w:color="auto" w:fill="FFFFFF"/>
        </w:rPr>
        <w:t xml:space="preserve">Также в ходе анализа правильности составления и оформления муниципальных контрактов за 2019 год были выявлены множественные технические ошибки, </w:t>
      </w:r>
      <w:r w:rsidRPr="0034648D">
        <w:rPr>
          <w:sz w:val="28"/>
          <w:szCs w:val="28"/>
        </w:rPr>
        <w:t>которые в ходе проверки были исправлены.</w:t>
      </w:r>
    </w:p>
    <w:p w:rsidR="0034648D" w:rsidRPr="0034648D" w:rsidRDefault="0034648D" w:rsidP="0034648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4648D">
        <w:rPr>
          <w:color w:val="000000"/>
          <w:sz w:val="28"/>
          <w:szCs w:val="28"/>
        </w:rPr>
        <w:t>Заведующему</w:t>
      </w:r>
      <w:proofErr w:type="gramEnd"/>
      <w:r w:rsidRPr="0034648D">
        <w:rPr>
          <w:color w:val="000000"/>
          <w:sz w:val="28"/>
          <w:szCs w:val="28"/>
        </w:rPr>
        <w:t xml:space="preserve"> детского сада № 6 «</w:t>
      </w:r>
      <w:proofErr w:type="spellStart"/>
      <w:r w:rsidRPr="0034648D">
        <w:rPr>
          <w:color w:val="000000"/>
          <w:sz w:val="28"/>
          <w:szCs w:val="28"/>
        </w:rPr>
        <w:t>Журавушка</w:t>
      </w:r>
      <w:proofErr w:type="spellEnd"/>
      <w:r w:rsidRPr="0034648D">
        <w:rPr>
          <w:color w:val="000000"/>
          <w:sz w:val="28"/>
          <w:szCs w:val="28"/>
        </w:rPr>
        <w:t>» н</w:t>
      </w:r>
      <w:r w:rsidRPr="0034648D">
        <w:rPr>
          <w:rFonts w:eastAsia="Arial Unicode MS"/>
          <w:kern w:val="3"/>
          <w:sz w:val="28"/>
          <w:szCs w:val="28"/>
        </w:rPr>
        <w:t xml:space="preserve">аправлен акт </w:t>
      </w:r>
      <w:r w:rsidRPr="0034648D">
        <w:rPr>
          <w:color w:val="000000"/>
          <w:sz w:val="28"/>
          <w:szCs w:val="28"/>
        </w:rPr>
        <w:t>№ 8 от 26 октября 2020 года и копия акта н</w:t>
      </w:r>
      <w:r w:rsidRPr="0034648D">
        <w:rPr>
          <w:rFonts w:eastAsia="Arial Unicode MS"/>
          <w:kern w:val="3"/>
          <w:sz w:val="28"/>
          <w:szCs w:val="28"/>
        </w:rPr>
        <w:t xml:space="preserve">ачальнику отдела образования администрации Нефтекумского городского округа для рассмотрения результатов проверки, и принятия соответствующих мер реагирования. </w:t>
      </w:r>
      <w:r w:rsidRPr="0034648D">
        <w:rPr>
          <w:rFonts w:eastAsia="Lucida Sans Unicode"/>
          <w:kern w:val="1"/>
          <w:sz w:val="28"/>
          <w:szCs w:val="28"/>
        </w:rPr>
        <w:t xml:space="preserve">В установленный срок представлена информация о проведении мероприятий, по приведению нормативно-правовых актов в соответствии с № 44-ФЗ, усилением </w:t>
      </w:r>
      <w:proofErr w:type="gramStart"/>
      <w:r w:rsidRPr="0034648D">
        <w:rPr>
          <w:rFonts w:eastAsia="Lucida Sans Unicode"/>
          <w:kern w:val="1"/>
          <w:sz w:val="28"/>
          <w:szCs w:val="28"/>
        </w:rPr>
        <w:t>контроля за</w:t>
      </w:r>
      <w:proofErr w:type="gramEnd"/>
      <w:r w:rsidRPr="0034648D">
        <w:rPr>
          <w:rFonts w:eastAsia="Lucida Sans Unicode"/>
          <w:kern w:val="1"/>
          <w:sz w:val="28"/>
          <w:szCs w:val="28"/>
        </w:rPr>
        <w:t xml:space="preserve"> его соблюдением. </w:t>
      </w:r>
      <w:r w:rsidRPr="0034648D">
        <w:rPr>
          <w:color w:val="000000"/>
          <w:sz w:val="28"/>
          <w:szCs w:val="28"/>
        </w:rPr>
        <w:t xml:space="preserve">К должностному лицу применено дисциплинарное взыскание. Объявлено замечание </w:t>
      </w:r>
      <w:proofErr w:type="gramStart"/>
      <w:r w:rsidRPr="0034648D">
        <w:rPr>
          <w:color w:val="000000"/>
          <w:sz w:val="28"/>
          <w:szCs w:val="28"/>
        </w:rPr>
        <w:t>заведующему</w:t>
      </w:r>
      <w:proofErr w:type="gramEnd"/>
      <w:r w:rsidRPr="0034648D">
        <w:rPr>
          <w:color w:val="000000"/>
          <w:sz w:val="28"/>
          <w:szCs w:val="28"/>
        </w:rPr>
        <w:t xml:space="preserve"> детского сада № 6 «</w:t>
      </w:r>
      <w:proofErr w:type="spellStart"/>
      <w:r w:rsidRPr="0034648D">
        <w:rPr>
          <w:color w:val="000000"/>
          <w:sz w:val="28"/>
          <w:szCs w:val="28"/>
        </w:rPr>
        <w:t>Журавушка</w:t>
      </w:r>
      <w:proofErr w:type="spellEnd"/>
      <w:r w:rsidRPr="0034648D">
        <w:rPr>
          <w:color w:val="000000"/>
          <w:sz w:val="28"/>
          <w:szCs w:val="28"/>
        </w:rPr>
        <w:t>» за ненадлежащее исполнение должностных обязанностей (приказ №171 от 29 октября 2020 года)</w:t>
      </w:r>
      <w:r w:rsidR="00372DA7">
        <w:rPr>
          <w:color w:val="000000"/>
          <w:sz w:val="28"/>
          <w:szCs w:val="28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7) проверка законности, результативности, (эффективности и экономности) использования средств бюджета в Муниципальном казенном общеобразовательном учреждении «Средняя общеобразовательная школа» № 14 а. Тукуй-Мектеб (далее – средняя школа № 14) (с элементами аудита в сфере закупок).</w:t>
      </w:r>
    </w:p>
    <w:p w:rsidR="0034648D" w:rsidRPr="0034648D" w:rsidRDefault="0034648D" w:rsidP="0034648D">
      <w:pPr>
        <w:ind w:right="-1" w:firstLine="709"/>
        <w:contextualSpacing/>
        <w:jc w:val="both"/>
        <w:rPr>
          <w:spacing w:val="2"/>
          <w:sz w:val="28"/>
          <w:szCs w:val="28"/>
        </w:rPr>
      </w:pPr>
      <w:r w:rsidRPr="0034648D">
        <w:rPr>
          <w:rFonts w:eastAsia="Calibri"/>
          <w:bCs/>
          <w:color w:val="000000"/>
          <w:sz w:val="28"/>
          <w:szCs w:val="28"/>
        </w:rPr>
        <w:lastRenderedPageBreak/>
        <w:t xml:space="preserve">Сумма </w:t>
      </w:r>
      <w:proofErr w:type="gramStart"/>
      <w:r w:rsidRPr="0034648D">
        <w:rPr>
          <w:rFonts w:eastAsia="Calibri"/>
          <w:bCs/>
          <w:color w:val="000000"/>
          <w:sz w:val="28"/>
          <w:szCs w:val="28"/>
        </w:rPr>
        <w:t xml:space="preserve">денежных средств, охваченных проверкой </w:t>
      </w:r>
      <w:r w:rsidRPr="0034648D">
        <w:rPr>
          <w:spacing w:val="2"/>
          <w:sz w:val="28"/>
          <w:szCs w:val="28"/>
        </w:rPr>
        <w:t>составила</w:t>
      </w:r>
      <w:proofErr w:type="gramEnd"/>
      <w:r w:rsidRPr="0034648D">
        <w:rPr>
          <w:spacing w:val="2"/>
          <w:sz w:val="28"/>
          <w:szCs w:val="28"/>
        </w:rPr>
        <w:t xml:space="preserve"> </w:t>
      </w:r>
      <w:r w:rsidRPr="0034648D">
        <w:rPr>
          <w:sz w:val="28"/>
          <w:szCs w:val="28"/>
        </w:rPr>
        <w:t xml:space="preserve">24 594 548,78 </w:t>
      </w:r>
      <w:r w:rsidRPr="0034648D">
        <w:rPr>
          <w:spacing w:val="2"/>
          <w:sz w:val="28"/>
          <w:szCs w:val="28"/>
        </w:rPr>
        <w:t>рублей.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Установлено нарушений на сумму 2 290 604,24</w:t>
      </w:r>
      <w:r w:rsidRPr="0034648D">
        <w:rPr>
          <w:color w:val="FF0000"/>
          <w:sz w:val="28"/>
          <w:szCs w:val="28"/>
        </w:rPr>
        <w:t xml:space="preserve"> </w:t>
      </w:r>
      <w:r w:rsidRPr="0034648D">
        <w:rPr>
          <w:sz w:val="28"/>
          <w:szCs w:val="28"/>
        </w:rPr>
        <w:t>рублей с учетом результатов проведенного аудита в сфере закупок, в том числе: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нарушение ведения бюджетного учета – на сумму 140 977,42 рублей;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нарушение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 2 ст.72 БК РФ – на сумму 31 208,72 рублей;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нарушения сроков оплаты предусмотренных в муниципальных контрактах – 79 случаев на сумму 2 002 767,10 рублей;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48D">
        <w:rPr>
          <w:color w:val="000000"/>
          <w:sz w:val="28"/>
          <w:szCs w:val="28"/>
          <w:shd w:val="clear" w:color="auto" w:fill="FFFFFF"/>
        </w:rPr>
        <w:t xml:space="preserve">нарушение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 3 ст.103 № 44-ФЗ</w:t>
      </w:r>
      <w:r w:rsidRPr="0034648D">
        <w:rPr>
          <w:color w:val="000000"/>
          <w:sz w:val="28"/>
          <w:szCs w:val="28"/>
          <w:shd w:val="clear" w:color="auto" w:fill="FFFFFF"/>
        </w:rPr>
        <w:t xml:space="preserve"> – 48 случаев;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48D">
        <w:rPr>
          <w:sz w:val="28"/>
          <w:szCs w:val="28"/>
        </w:rPr>
        <w:t xml:space="preserve">нарушение </w:t>
      </w:r>
      <w:proofErr w:type="gramStart"/>
      <w:r w:rsidRPr="0034648D">
        <w:rPr>
          <w:sz w:val="28"/>
          <w:szCs w:val="28"/>
        </w:rPr>
        <w:t>ч</w:t>
      </w:r>
      <w:proofErr w:type="gramEnd"/>
      <w:r w:rsidRPr="0034648D">
        <w:rPr>
          <w:sz w:val="28"/>
          <w:szCs w:val="28"/>
        </w:rPr>
        <w:t>.4 ст.30 № 44-ФЗ</w:t>
      </w:r>
      <w:r w:rsidRPr="0034648D">
        <w:rPr>
          <w:color w:val="000000"/>
          <w:sz w:val="28"/>
          <w:szCs w:val="28"/>
          <w:shd w:val="clear" w:color="auto" w:fill="FFFFFF"/>
        </w:rPr>
        <w:t xml:space="preserve"> и требований к заполнению формы отчетов предусмотренных постановлением Правительства РФ от 17 марта 2015 года № 238 – 6 случаев;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48D">
        <w:rPr>
          <w:color w:val="000000"/>
          <w:sz w:val="28"/>
          <w:szCs w:val="28"/>
          <w:shd w:val="clear" w:color="auto" w:fill="FFFFFF"/>
        </w:rPr>
        <w:t>нарушение п. 11 ст. 21 №</w:t>
      </w:r>
      <w:r w:rsidR="0089374E">
        <w:rPr>
          <w:color w:val="000000"/>
          <w:sz w:val="28"/>
          <w:szCs w:val="28"/>
          <w:shd w:val="clear" w:color="auto" w:fill="FFFFFF"/>
        </w:rPr>
        <w:t xml:space="preserve"> </w:t>
      </w:r>
      <w:r w:rsidRPr="0034648D">
        <w:rPr>
          <w:color w:val="000000"/>
          <w:sz w:val="28"/>
          <w:szCs w:val="28"/>
          <w:shd w:val="clear" w:color="auto" w:fill="FFFFFF"/>
        </w:rPr>
        <w:t>44 ФЗ – 2 случая на сумму – 115 651,00 рублей.</w:t>
      </w:r>
    </w:p>
    <w:p w:rsidR="0034648D" w:rsidRPr="0034648D" w:rsidRDefault="0034648D" w:rsidP="0034648D">
      <w:pPr>
        <w:shd w:val="clear" w:color="auto" w:fill="FFFFFF"/>
        <w:ind w:firstLine="709"/>
        <w:jc w:val="both"/>
        <w:rPr>
          <w:sz w:val="28"/>
          <w:szCs w:val="28"/>
        </w:rPr>
      </w:pPr>
      <w:r w:rsidRPr="0034648D">
        <w:rPr>
          <w:rFonts w:eastAsia="Lucida Sans Unicode"/>
          <w:kern w:val="1"/>
          <w:sz w:val="28"/>
          <w:szCs w:val="28"/>
        </w:rPr>
        <w:t xml:space="preserve">По результатам проведенного контрольного мероприятия на имя руководителя учреждения направлен акт </w:t>
      </w:r>
      <w:r w:rsidRPr="0034648D">
        <w:rPr>
          <w:spacing w:val="2"/>
          <w:sz w:val="28"/>
          <w:szCs w:val="28"/>
        </w:rPr>
        <w:t>№ 9 от 9 декабря 2020 года</w:t>
      </w:r>
      <w:r w:rsidRPr="0034648D">
        <w:rPr>
          <w:rFonts w:eastAsia="Lucida Sans Unicode"/>
          <w:kern w:val="1"/>
          <w:sz w:val="28"/>
          <w:szCs w:val="28"/>
        </w:rPr>
        <w:t xml:space="preserve"> для принятия соответствующих мер по устранению выявленных нарушений и недостатков.</w:t>
      </w:r>
    </w:p>
    <w:p w:rsidR="0034648D" w:rsidRPr="0034648D" w:rsidRDefault="0034648D" w:rsidP="0034648D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34648D">
        <w:rPr>
          <w:rFonts w:eastAsia="Arial Unicode MS"/>
          <w:kern w:val="3"/>
          <w:sz w:val="28"/>
          <w:szCs w:val="28"/>
        </w:rPr>
        <w:t xml:space="preserve">Так же начальнику отдела образования администрации Нефтекумского городского округа направлена копия акта для рассмотрения результатов проверки, и принятия соответствующих мер реагирования. </w:t>
      </w:r>
      <w:r w:rsidRPr="0034648D">
        <w:rPr>
          <w:color w:val="000000"/>
          <w:sz w:val="28"/>
          <w:szCs w:val="28"/>
        </w:rPr>
        <w:t>Объявлено замечание директору средней школы № 14 (приказ № 218-к от 25 декабря 2020 года).</w:t>
      </w:r>
    </w:p>
    <w:p w:rsidR="0034648D" w:rsidRPr="0034648D" w:rsidRDefault="0034648D" w:rsidP="0034648D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34648D">
        <w:rPr>
          <w:sz w:val="28"/>
          <w:szCs w:val="28"/>
        </w:rPr>
        <w:t>По итогам проведенных контрольных мероприятий в подведомственных учреждениях отдела образования администрации Нефтекумского городского округа Ставропольского края, на основании актов Контрольно-счетной палаты к</w:t>
      </w:r>
      <w:r w:rsidRPr="0034648D">
        <w:rPr>
          <w:color w:val="000000"/>
          <w:sz w:val="28"/>
          <w:szCs w:val="28"/>
        </w:rPr>
        <w:t xml:space="preserve"> должностному лицу применено дисциплинарное взыскание. Объявлено замечание</w:t>
      </w:r>
      <w:r w:rsidRPr="0034648D">
        <w:rPr>
          <w:sz w:val="28"/>
          <w:szCs w:val="28"/>
        </w:rPr>
        <w:t xml:space="preserve"> директору Муниципального казенного учреждения «Центр по комплексному обслуживанию учреждений образования» Нефтекумского городского округа Ставропольского края.</w:t>
      </w:r>
    </w:p>
    <w:p w:rsidR="0034648D" w:rsidRPr="0034648D" w:rsidRDefault="0034648D" w:rsidP="003464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648D">
        <w:rPr>
          <w:rFonts w:eastAsia="Calibri"/>
          <w:sz w:val="28"/>
          <w:szCs w:val="28"/>
        </w:rPr>
        <w:t>В рамках контрольной деятельности в 2020 году проведено 4 внеплановых контрольных мероприятия по запросам органов прокуратуры и Думы Нефтекумского городского округа, в том числе:</w:t>
      </w:r>
    </w:p>
    <w:p w:rsidR="0034648D" w:rsidRPr="0034648D" w:rsidRDefault="0034648D" w:rsidP="0034648D">
      <w:pPr>
        <w:ind w:firstLine="709"/>
        <w:jc w:val="both"/>
        <w:rPr>
          <w:b/>
          <w:spacing w:val="2"/>
          <w:sz w:val="28"/>
          <w:szCs w:val="28"/>
        </w:rPr>
      </w:pPr>
      <w:proofErr w:type="gramStart"/>
      <w:r w:rsidRPr="0034648D">
        <w:rPr>
          <w:sz w:val="28"/>
          <w:szCs w:val="28"/>
        </w:rPr>
        <w:t>1) проверка целевого и эффективного использования средств бюджета, выделенных Управлению городского хозяйства администрации Нефтекумского городского округа Ставропольского края (далее - Управление) на озеленение и санитарную очистку парковой зоны в городе Нефтекумске в рамках реализации подпрограммы «Благоустройство и санитарная очистка»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</w:t>
      </w:r>
      <w:r w:rsidRPr="0034648D">
        <w:rPr>
          <w:b/>
          <w:spacing w:val="2"/>
          <w:sz w:val="28"/>
          <w:szCs w:val="28"/>
        </w:rPr>
        <w:t>».</w:t>
      </w:r>
      <w:proofErr w:type="gramEnd"/>
    </w:p>
    <w:p w:rsidR="0034648D" w:rsidRPr="0034648D" w:rsidRDefault="0034648D" w:rsidP="0034648D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4648D">
        <w:rPr>
          <w:sz w:val="28"/>
          <w:szCs w:val="28"/>
        </w:rPr>
        <w:t xml:space="preserve">На заседании постоянной комиссии Думы Нефтекумского городского округа Ставропольского края по бюджету, экономической политике, налогам, собственности и инвестициям 17 марта 2020 года было принято решение поручить Контрольно-счетной палате подтвердить целевое использование бюджетных средств в сумме 195 000,00 рублей, выделенных </w:t>
      </w:r>
      <w:r w:rsidRPr="0034648D">
        <w:rPr>
          <w:sz w:val="28"/>
          <w:szCs w:val="28"/>
        </w:rPr>
        <w:lastRenderedPageBreak/>
        <w:t xml:space="preserve">Управлению </w:t>
      </w:r>
      <w:r w:rsidRPr="0034648D">
        <w:rPr>
          <w:spacing w:val="2"/>
          <w:sz w:val="28"/>
          <w:szCs w:val="28"/>
        </w:rPr>
        <w:t xml:space="preserve">на </w:t>
      </w:r>
      <w:r w:rsidRPr="0034648D">
        <w:rPr>
          <w:color w:val="000000"/>
          <w:sz w:val="28"/>
          <w:szCs w:val="28"/>
        </w:rPr>
        <w:t>озеленение и санитарную очистку парковой зоны в городе Нефтекумске в рамках реализации подпрограммы «Благоустройство и санитарная очистка» муниципальной программы</w:t>
      </w:r>
      <w:proofErr w:type="gramEnd"/>
      <w:r w:rsidRPr="0034648D">
        <w:rPr>
          <w:color w:val="000000"/>
          <w:sz w:val="28"/>
          <w:szCs w:val="28"/>
        </w:rPr>
        <w:t xml:space="preserve"> Нефтекумского городского округа Ставропольского края «Развитие жилищно-коммунального хозяйства</w:t>
      </w:r>
      <w:r w:rsidR="00372DA7">
        <w:rPr>
          <w:color w:val="000000"/>
          <w:sz w:val="28"/>
          <w:szCs w:val="28"/>
        </w:rPr>
        <w:t xml:space="preserve"> и улучшение жилищных условий».</w:t>
      </w:r>
    </w:p>
    <w:p w:rsidR="0034648D" w:rsidRPr="0034648D" w:rsidRDefault="0034648D" w:rsidP="0034648D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34648D">
        <w:rPr>
          <w:sz w:val="28"/>
          <w:szCs w:val="28"/>
        </w:rPr>
        <w:t xml:space="preserve">В ходе данной проверки </w:t>
      </w:r>
      <w:r w:rsidRPr="0034648D">
        <w:rPr>
          <w:bCs/>
          <w:spacing w:val="2"/>
          <w:sz w:val="28"/>
          <w:szCs w:val="28"/>
        </w:rPr>
        <w:t>нецелевого использования средств м</w:t>
      </w:r>
      <w:r w:rsidR="0089374E">
        <w:rPr>
          <w:bCs/>
          <w:spacing w:val="2"/>
          <w:sz w:val="28"/>
          <w:szCs w:val="28"/>
        </w:rPr>
        <w:t>естного бюджета не установлено;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2) проверка целевого и эффективного использования средств бюджета, выделенных на выполнение работ по восстановлению тротуарных дорожек в парке отдыха </w:t>
      </w:r>
      <w:proofErr w:type="gramStart"/>
      <w:r w:rsidRPr="0034648D">
        <w:rPr>
          <w:sz w:val="28"/>
          <w:szCs w:val="28"/>
        </w:rPr>
        <w:t>г</w:t>
      </w:r>
      <w:proofErr w:type="gramEnd"/>
      <w:r w:rsidRPr="0034648D">
        <w:rPr>
          <w:sz w:val="28"/>
          <w:szCs w:val="28"/>
        </w:rPr>
        <w:t>. Нефтекумска.</w:t>
      </w:r>
    </w:p>
    <w:p w:rsidR="0034648D" w:rsidRPr="0034648D" w:rsidRDefault="0034648D" w:rsidP="0034648D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34648D">
        <w:rPr>
          <w:bCs/>
          <w:spacing w:val="2"/>
          <w:sz w:val="28"/>
          <w:szCs w:val="28"/>
        </w:rPr>
        <w:t xml:space="preserve">В ходе контрольного мероприятия были выявлены дефекты тротуарной дорожки в парке отдыха </w:t>
      </w:r>
      <w:proofErr w:type="gramStart"/>
      <w:r w:rsidRPr="0034648D">
        <w:rPr>
          <w:bCs/>
          <w:spacing w:val="2"/>
          <w:sz w:val="28"/>
          <w:szCs w:val="28"/>
        </w:rPr>
        <w:t>г</w:t>
      </w:r>
      <w:proofErr w:type="gramEnd"/>
      <w:r w:rsidRPr="0034648D">
        <w:rPr>
          <w:bCs/>
          <w:spacing w:val="2"/>
          <w:sz w:val="28"/>
          <w:szCs w:val="28"/>
        </w:rPr>
        <w:t xml:space="preserve">. Нефтекумска. На момент проверки велась претензионная работа с подрядной организацией, выявленные недостатки </w:t>
      </w:r>
      <w:r w:rsidRPr="0034648D">
        <w:rPr>
          <w:color w:val="000000"/>
          <w:sz w:val="28"/>
          <w:szCs w:val="28"/>
        </w:rPr>
        <w:t>поверхности тротуарной дорожки устранены</w:t>
      </w:r>
      <w:r w:rsidR="0089374E">
        <w:rPr>
          <w:color w:val="000000"/>
          <w:sz w:val="28"/>
          <w:szCs w:val="28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3) проверка формирования стоимости услуг по организации питания в образовательных учреждениях Нефтекумского городского округа.</w:t>
      </w:r>
    </w:p>
    <w:p w:rsidR="0034648D" w:rsidRPr="0034648D" w:rsidRDefault="0034648D" w:rsidP="0034648D">
      <w:pPr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34648D">
        <w:rPr>
          <w:bCs/>
          <w:spacing w:val="2"/>
          <w:sz w:val="28"/>
          <w:szCs w:val="28"/>
        </w:rPr>
        <w:t>Контрольное мероприятие «</w:t>
      </w:r>
      <w:r w:rsidRPr="0034648D">
        <w:rPr>
          <w:sz w:val="28"/>
          <w:szCs w:val="28"/>
        </w:rPr>
        <w:t>Проверка формирования стоимости услуг по организации питания в образовательных учреждениях Нефтекумского городского округа» проводилась по требованию прокуратуры Нефтекумского района, в которой было указано провести проверку обоснованности включения наценки в размере 40% в расчет стоимости услуг по организации питания в образовательных учреждениях Нефтекумского городского округа.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В ходе анализа представленных на проверку документов выявлено:</w:t>
      </w:r>
    </w:p>
    <w:p w:rsidR="0034648D" w:rsidRPr="0034648D" w:rsidRDefault="0089374E" w:rsidP="003464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4648D" w:rsidRPr="0034648D">
        <w:rPr>
          <w:sz w:val="28"/>
          <w:szCs w:val="28"/>
        </w:rPr>
        <w:t>становлена наценка в размере 40% по дошкольным учреждениям, 45% по общеобразовательным учреждениям.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В соответствии с постановлением Региональной тарифной комиссии Ставропольского края от 24 мая 2012 года № 33/1 на продукцию собственного производства, и покупные товары должны устанавливаться разные наценки (25% и 50% соответственно). Тогда как, в расчетах, предоставленных к проверке, по дошкольным учреждениям применена наценка в размере 40% и по общеобразовательным учреждениям в размере 45% на все виды продукции. 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Контрольно-счетная палата пришла к выводу, что данная наценка является необоснованной.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4648D">
        <w:rPr>
          <w:sz w:val="28"/>
          <w:szCs w:val="28"/>
        </w:rPr>
        <w:t xml:space="preserve">Материалы данного контрольного мероприятия были направлены в прокуратуру Нефтекумского района. </w:t>
      </w:r>
      <w:r w:rsidRPr="0034648D">
        <w:rPr>
          <w:sz w:val="28"/>
          <w:szCs w:val="28"/>
          <w:shd w:val="clear" w:color="auto" w:fill="FFFFFF"/>
        </w:rPr>
        <w:t>Информация о принятии мер реагирования в Контрольно-счетную палату не поступала</w:t>
      </w:r>
      <w:r w:rsidR="0089374E">
        <w:rPr>
          <w:sz w:val="28"/>
          <w:szCs w:val="28"/>
          <w:shd w:val="clear" w:color="auto" w:fill="FFFFFF"/>
        </w:rPr>
        <w:t>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4) проверка образования задолженности в Муниципальном унитарном предприятии «Санитарная очистка и благоустройство Нефтекумского городского округа Ставропольского края (далее - МУП «СОБ») на март 2020 года.</w:t>
      </w:r>
    </w:p>
    <w:p w:rsidR="0034648D" w:rsidRPr="0034648D" w:rsidRDefault="0034648D" w:rsidP="0034648D">
      <w:pPr>
        <w:ind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В ходе контрольного мероприятия установлено следующее: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За 1 квартал 2020 года МУП «СОБ» выполнило работ и оказало услуг на сумму 944 950,00 рублей (январь – 187 950,00 рублей, февраль – 203 980,00 рублей, март – 553 020 рублей).</w:t>
      </w:r>
    </w:p>
    <w:p w:rsidR="0089374E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Сравнительный анализ доходов в МУП СОБ за несколько лет приведен в следующей таблице.</w:t>
      </w:r>
    </w:p>
    <w:p w:rsidR="0089374E" w:rsidRPr="0034648D" w:rsidRDefault="0089374E" w:rsidP="0089374E">
      <w:pPr>
        <w:ind w:firstLine="709"/>
        <w:jc w:val="right"/>
        <w:rPr>
          <w:sz w:val="20"/>
          <w:szCs w:val="20"/>
        </w:rPr>
      </w:pPr>
      <w:r w:rsidRPr="0089374E">
        <w:lastRenderedPageBreak/>
        <w:t>тыс. рублей</w:t>
      </w:r>
    </w:p>
    <w:tbl>
      <w:tblPr>
        <w:tblStyle w:val="af4"/>
        <w:tblW w:w="9500" w:type="dxa"/>
        <w:tblLook w:val="04A0"/>
      </w:tblPr>
      <w:tblGrid>
        <w:gridCol w:w="2572"/>
        <w:gridCol w:w="2083"/>
        <w:gridCol w:w="1838"/>
        <w:gridCol w:w="1852"/>
        <w:gridCol w:w="1155"/>
      </w:tblGrid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center"/>
            </w:pPr>
            <w:r w:rsidRPr="0034648D">
              <w:t>Наименование доходов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center"/>
            </w:pPr>
            <w:r w:rsidRPr="0034648D">
              <w:t>2017</w:t>
            </w:r>
          </w:p>
          <w:p w:rsidR="0034648D" w:rsidRPr="0034648D" w:rsidRDefault="0034648D" w:rsidP="0034648D">
            <w:pPr>
              <w:jc w:val="center"/>
            </w:pPr>
            <w:r w:rsidRPr="0034648D">
              <w:t>1кв./год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center"/>
            </w:pPr>
            <w:r w:rsidRPr="0034648D">
              <w:t>2018</w:t>
            </w:r>
          </w:p>
          <w:p w:rsidR="0034648D" w:rsidRPr="0034648D" w:rsidRDefault="0034648D" w:rsidP="0034648D">
            <w:pPr>
              <w:jc w:val="center"/>
            </w:pPr>
            <w:r w:rsidRPr="0034648D">
              <w:t>1кв./год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center"/>
            </w:pPr>
            <w:r w:rsidRPr="0034648D">
              <w:t>2019</w:t>
            </w:r>
          </w:p>
          <w:p w:rsidR="0034648D" w:rsidRPr="0034648D" w:rsidRDefault="0034648D" w:rsidP="0034648D">
            <w:pPr>
              <w:jc w:val="center"/>
            </w:pPr>
            <w:r w:rsidRPr="0034648D">
              <w:t>1кв./год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center"/>
            </w:pPr>
            <w:r w:rsidRPr="0034648D">
              <w:t>2020</w:t>
            </w:r>
          </w:p>
          <w:p w:rsidR="0034648D" w:rsidRPr="0034648D" w:rsidRDefault="0034648D" w:rsidP="0034648D">
            <w:pPr>
              <w:jc w:val="center"/>
            </w:pPr>
            <w:r w:rsidRPr="0034648D">
              <w:t>1 кв</w:t>
            </w:r>
            <w:r w:rsidR="000B2A1C">
              <w:t>.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Благоустройство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509,13/1 197,93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211,24/3 622,69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-/2 436,44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Озеленение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1,06/4 003,27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148,22/694,08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2,78/129,88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Ритуальные услуги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99,99/547,62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86,33/404,44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147,90/443,01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130,70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proofErr w:type="spellStart"/>
            <w:r w:rsidRPr="0034648D">
              <w:t>Сан</w:t>
            </w:r>
            <w:proofErr w:type="gramStart"/>
            <w:r w:rsidRPr="0034648D">
              <w:t>.о</w:t>
            </w:r>
            <w:proofErr w:type="gramEnd"/>
            <w:r w:rsidRPr="0034648D">
              <w:t>чистка</w:t>
            </w:r>
            <w:proofErr w:type="spellEnd"/>
            <w:r w:rsidRPr="0034648D">
              <w:t xml:space="preserve"> (сбор неопасных отходов)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8 099,77/27 372,34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6 204,74/13 927,42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34,29/6 404,03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404,77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Сезонные работы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346,68/599,02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757,67/757,67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Дорожные работы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-/885,77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49,99/49,99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Торговая выручка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252,58/1 209,64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254,95/1 279,80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371,70/1 189,08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409,49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Прочие услуги городу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-/58,88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0,78/1 864,01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99,55/777,64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Выполненные работы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-/284,65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99,99/975,12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-/639,04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Организация мест захоронения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-/300,00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  <w:tr w:rsidR="0034648D" w:rsidRPr="0034648D" w:rsidTr="0076485A">
        <w:tc>
          <w:tcPr>
            <w:tcW w:w="2572" w:type="dxa"/>
          </w:tcPr>
          <w:p w:rsidR="0034648D" w:rsidRPr="0034648D" w:rsidRDefault="0034648D" w:rsidP="0034648D">
            <w:pPr>
              <w:jc w:val="both"/>
            </w:pPr>
            <w:r w:rsidRPr="0034648D">
              <w:t>Прочие доходы</w:t>
            </w:r>
          </w:p>
        </w:tc>
        <w:tc>
          <w:tcPr>
            <w:tcW w:w="2083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  <w:tc>
          <w:tcPr>
            <w:tcW w:w="1838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  <w:tc>
          <w:tcPr>
            <w:tcW w:w="1852" w:type="dxa"/>
          </w:tcPr>
          <w:p w:rsidR="0034648D" w:rsidRPr="0034648D" w:rsidRDefault="0034648D" w:rsidP="0034648D">
            <w:pPr>
              <w:jc w:val="both"/>
            </w:pPr>
            <w:r w:rsidRPr="0034648D">
              <w:t>-/41,80</w:t>
            </w:r>
          </w:p>
        </w:tc>
        <w:tc>
          <w:tcPr>
            <w:tcW w:w="1155" w:type="dxa"/>
          </w:tcPr>
          <w:p w:rsidR="0034648D" w:rsidRPr="0034648D" w:rsidRDefault="0034648D" w:rsidP="0034648D">
            <w:pPr>
              <w:jc w:val="both"/>
            </w:pPr>
            <w:r w:rsidRPr="0034648D">
              <w:t>-</w:t>
            </w:r>
          </w:p>
        </w:tc>
      </w:tr>
    </w:tbl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Причиной потери доходов является потеря основной части доходов по вывозу мусора в связи с переходом в 2018 году на новую систему обращения с твердыми коммунальными отходами и передаче данных полн</w:t>
      </w:r>
      <w:r w:rsidR="0089374E">
        <w:rPr>
          <w:sz w:val="28"/>
          <w:szCs w:val="28"/>
        </w:rPr>
        <w:t>омочий региональному оператору.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При учете того, что за 1 квартал 2020 года доходов поступило на сумму 944 950,00 рублей, по заработной плате начисление составило 1 499 390,00 рублей, в том числе компенсация отпуска при увольнении – 511 160,00 рублей.</w:t>
      </w:r>
    </w:p>
    <w:p w:rsidR="0034648D" w:rsidRDefault="0034648D" w:rsidP="008937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48D">
        <w:rPr>
          <w:rFonts w:ascii="Times New Roman" w:hAnsi="Times New Roman"/>
          <w:sz w:val="28"/>
          <w:szCs w:val="28"/>
        </w:rPr>
        <w:t xml:space="preserve">В ходе данной проверки </w:t>
      </w:r>
      <w:r w:rsidRPr="0034648D">
        <w:rPr>
          <w:rFonts w:ascii="Times New Roman" w:eastAsia="Calibri" w:hAnsi="Times New Roman"/>
          <w:sz w:val="28"/>
          <w:szCs w:val="28"/>
        </w:rPr>
        <w:t xml:space="preserve">специалистами Контрольно-счетной палаты на основании Кодекса Российской Федерации об административных правонарушениях (далее </w:t>
      </w:r>
      <w:r w:rsidRPr="0034648D">
        <w:rPr>
          <w:rFonts w:ascii="Times New Roman" w:hAnsi="Times New Roman"/>
          <w:sz w:val="28"/>
          <w:szCs w:val="28"/>
        </w:rPr>
        <w:t>-</w:t>
      </w:r>
      <w:r w:rsidRPr="0034648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4648D">
        <w:rPr>
          <w:rFonts w:ascii="Times New Roman" w:eastAsia="Calibri" w:hAnsi="Times New Roman"/>
          <w:sz w:val="28"/>
          <w:szCs w:val="28"/>
        </w:rPr>
        <w:t>КоАП</w:t>
      </w:r>
      <w:proofErr w:type="spellEnd"/>
      <w:r w:rsidRPr="0034648D">
        <w:rPr>
          <w:rFonts w:ascii="Times New Roman" w:eastAsia="Calibri" w:hAnsi="Times New Roman"/>
          <w:sz w:val="28"/>
          <w:szCs w:val="28"/>
        </w:rPr>
        <w:t xml:space="preserve"> РФ)</w:t>
      </w:r>
      <w:r w:rsidRPr="0034648D">
        <w:rPr>
          <w:rFonts w:ascii="Times New Roman" w:hAnsi="Times New Roman"/>
        </w:rPr>
        <w:t xml:space="preserve"> </w:t>
      </w:r>
      <w:r w:rsidRPr="0034648D">
        <w:rPr>
          <w:rFonts w:ascii="Times New Roman" w:eastAsia="Calibri" w:hAnsi="Times New Roman"/>
          <w:sz w:val="28"/>
          <w:szCs w:val="28"/>
        </w:rPr>
        <w:t xml:space="preserve">составлен и направлен на рассмотрение в суд протокол по делу об административном правонарушении, </w:t>
      </w:r>
      <w:r w:rsidRPr="0034648D">
        <w:rPr>
          <w:rFonts w:ascii="Times New Roman" w:hAnsi="Times New Roman"/>
          <w:sz w:val="28"/>
          <w:szCs w:val="28"/>
        </w:rPr>
        <w:t xml:space="preserve">предусмотренном статьей 19.7 </w:t>
      </w:r>
      <w:proofErr w:type="spellStart"/>
      <w:r w:rsidRPr="0034648D">
        <w:rPr>
          <w:rFonts w:ascii="Times New Roman" w:hAnsi="Times New Roman"/>
          <w:sz w:val="28"/>
          <w:szCs w:val="28"/>
        </w:rPr>
        <w:t>КоАП</w:t>
      </w:r>
      <w:proofErr w:type="spellEnd"/>
      <w:r w:rsidRPr="0034648D">
        <w:rPr>
          <w:rFonts w:ascii="Times New Roman" w:hAnsi="Times New Roman"/>
          <w:sz w:val="28"/>
          <w:szCs w:val="28"/>
        </w:rPr>
        <w:t xml:space="preserve"> РФ.</w:t>
      </w:r>
    </w:p>
    <w:p w:rsidR="0089374E" w:rsidRPr="0034648D" w:rsidRDefault="0089374E" w:rsidP="008937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48D" w:rsidRPr="0034648D" w:rsidRDefault="0034648D" w:rsidP="0034648D">
      <w:pPr>
        <w:ind w:right="-1"/>
        <w:contextualSpacing/>
        <w:jc w:val="center"/>
        <w:rPr>
          <w:b/>
          <w:sz w:val="28"/>
          <w:szCs w:val="28"/>
        </w:rPr>
      </w:pPr>
      <w:r w:rsidRPr="0034648D">
        <w:rPr>
          <w:b/>
          <w:sz w:val="28"/>
          <w:szCs w:val="28"/>
        </w:rPr>
        <w:t>4. Экспертно-аналитическая деятельность</w:t>
      </w:r>
    </w:p>
    <w:p w:rsidR="0034648D" w:rsidRPr="0034648D" w:rsidRDefault="0034648D" w:rsidP="0034648D">
      <w:pPr>
        <w:ind w:right="-1"/>
        <w:contextualSpacing/>
        <w:jc w:val="center"/>
        <w:rPr>
          <w:b/>
          <w:sz w:val="28"/>
          <w:szCs w:val="28"/>
        </w:rPr>
      </w:pPr>
    </w:p>
    <w:p w:rsidR="0034648D" w:rsidRPr="0034648D" w:rsidRDefault="0034648D" w:rsidP="0034648D">
      <w:pPr>
        <w:ind w:right="-1"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Одной из форм осуществления внешнего муниципального финансового контроля является экспертно-аналитическая деятельность, в рамках которой Контрольно-счетной палатой осуществлялся системный анализ проектов правовых актов с целью предупреждения противоправных расходов бюджетных средств.</w:t>
      </w:r>
    </w:p>
    <w:p w:rsidR="0034648D" w:rsidRPr="0034648D" w:rsidRDefault="0034648D" w:rsidP="0034648D">
      <w:pPr>
        <w:ind w:right="-1"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Анализ проектов правовых актов проводился в соответствии с БК РФ, Федеральным законом № 6-ФЗ, Федеральным законом от 6 октября 2003 года № 131-ФЗ, Положением о Контрольно-счетной палате, Положением о бюджетном процессе </w:t>
      </w:r>
      <w:proofErr w:type="gramStart"/>
      <w:r w:rsidRPr="0034648D">
        <w:rPr>
          <w:sz w:val="28"/>
          <w:szCs w:val="28"/>
        </w:rPr>
        <w:t>в</w:t>
      </w:r>
      <w:proofErr w:type="gramEnd"/>
      <w:r w:rsidRPr="0034648D">
        <w:rPr>
          <w:sz w:val="28"/>
          <w:szCs w:val="28"/>
        </w:rPr>
        <w:t xml:space="preserve"> </w:t>
      </w:r>
      <w:proofErr w:type="gramStart"/>
      <w:r w:rsidRPr="0034648D">
        <w:rPr>
          <w:sz w:val="28"/>
          <w:szCs w:val="28"/>
        </w:rPr>
        <w:t>Нефтекумском</w:t>
      </w:r>
      <w:proofErr w:type="gramEnd"/>
      <w:r w:rsidRPr="0034648D">
        <w:rPr>
          <w:sz w:val="28"/>
          <w:szCs w:val="28"/>
        </w:rPr>
        <w:t xml:space="preserve"> городском округе Ставропольского края и другими нормативными правовыми актами.</w:t>
      </w:r>
    </w:p>
    <w:p w:rsidR="0034648D" w:rsidRPr="0034648D" w:rsidRDefault="0034648D" w:rsidP="0034648D">
      <w:pPr>
        <w:ind w:right="-1" w:firstLine="709"/>
        <w:contextualSpacing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Всего проведено 50 экспертно-аналитических мероприятий, по которым подготовлены заключения, из них; 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 xml:space="preserve">заключение по результатам финансово-экономической экспертизы проекта решения Думы Нефтекумского городского округа об исполнении </w:t>
      </w:r>
      <w:r w:rsidRPr="0034648D">
        <w:rPr>
          <w:sz w:val="28"/>
          <w:szCs w:val="28"/>
        </w:rPr>
        <w:lastRenderedPageBreak/>
        <w:t>бюджета Нефтекумского городского округа Ставропольского края за 2019 год;</w:t>
      </w:r>
    </w:p>
    <w:p w:rsidR="0034648D" w:rsidRPr="0034648D" w:rsidRDefault="0034648D" w:rsidP="0034648D">
      <w:pPr>
        <w:tabs>
          <w:tab w:val="left" w:pos="3820"/>
        </w:tabs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8 заключений на проекты решений «О внесении изменений в решение Думы Нефтекумского городского округа Ставропольского края «О бюджете Нефтекумского городского округа Ставропольского края на 2020 год и плановый период 2021 и 2022 годов»;</w:t>
      </w:r>
    </w:p>
    <w:p w:rsidR="0034648D" w:rsidRPr="0034648D" w:rsidRDefault="0034648D" w:rsidP="003464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заключение на проект решения Думы Нефтекумского городского округа «О бюджете Нефтекумского городского округа Ставропольского края на 2021 год и плановый период 2022 и 2023 годов;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3 заключения на отчёты по исполнению бюджета Нефтекумского городского округа за 1 квартал, 1 полугодие и 9 месяцев 2020 года.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10 заключений по результатам финансово-экономической экспертизы на проекты Постановлений администрации Нефтекумского городского округа об утверждении муниципальных программ Нефтекумского округа.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В заключениях отражены результаты оценки достоверности и полноты отражения доходов бюджета, оценки обоснованности запланированных расходных статей, оценки сбалансированности местного бюджета, соответствия текстовой части и структуры проекта решения о бюджете требованиям бюджетного законодательства, наличия и состояния нормативной и методической базы, регулирующей порядок фо</w:t>
      </w:r>
      <w:r w:rsidR="0089374E">
        <w:rPr>
          <w:sz w:val="28"/>
          <w:szCs w:val="28"/>
        </w:rPr>
        <w:t>рмирования показателей бюджета.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городского округа.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</w:p>
    <w:p w:rsidR="0034648D" w:rsidRPr="0034648D" w:rsidRDefault="0034648D" w:rsidP="0034648D">
      <w:pPr>
        <w:jc w:val="center"/>
        <w:rPr>
          <w:b/>
          <w:iCs/>
          <w:sz w:val="28"/>
          <w:szCs w:val="28"/>
        </w:rPr>
      </w:pPr>
      <w:r w:rsidRPr="0034648D">
        <w:rPr>
          <w:b/>
          <w:color w:val="000000"/>
          <w:sz w:val="28"/>
          <w:szCs w:val="28"/>
        </w:rPr>
        <w:t xml:space="preserve">5. </w:t>
      </w:r>
      <w:r w:rsidRPr="0034648D">
        <w:rPr>
          <w:b/>
          <w:iCs/>
          <w:sz w:val="28"/>
          <w:szCs w:val="28"/>
        </w:rPr>
        <w:t>Организационно-методическая и информационная деятельность</w:t>
      </w:r>
    </w:p>
    <w:p w:rsidR="0034648D" w:rsidRPr="0034648D" w:rsidRDefault="0034648D" w:rsidP="0034648D">
      <w:pPr>
        <w:jc w:val="center"/>
        <w:rPr>
          <w:b/>
          <w:iCs/>
          <w:sz w:val="28"/>
          <w:szCs w:val="28"/>
        </w:rPr>
      </w:pP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Согласно ст. 3 Положения о Контрольно-счетной палате одним из основополагающих принципов деятельности Контрольно-счетной палаты является гласность.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В целях реализации принципа гласности Контрольно-счетная палата на официальном сайте администрации Нефтекумского городского округа (http://www.a</w:t>
      </w:r>
      <w:proofErr w:type="spellStart"/>
      <w:r w:rsidRPr="0034648D">
        <w:rPr>
          <w:color w:val="000000"/>
          <w:sz w:val="28"/>
          <w:szCs w:val="28"/>
          <w:lang w:val="en-US"/>
        </w:rPr>
        <w:t>ngosk</w:t>
      </w:r>
      <w:proofErr w:type="spellEnd"/>
      <w:r w:rsidRPr="0034648D">
        <w:rPr>
          <w:color w:val="000000"/>
          <w:sz w:val="28"/>
          <w:szCs w:val="28"/>
        </w:rPr>
        <w:t>.</w:t>
      </w:r>
      <w:proofErr w:type="spellStart"/>
      <w:r w:rsidRPr="0034648D">
        <w:rPr>
          <w:color w:val="000000"/>
          <w:sz w:val="28"/>
          <w:szCs w:val="28"/>
        </w:rPr>
        <w:t>ru</w:t>
      </w:r>
      <w:proofErr w:type="spellEnd"/>
      <w:r w:rsidRPr="0034648D">
        <w:rPr>
          <w:color w:val="000000"/>
          <w:sz w:val="28"/>
          <w:szCs w:val="28"/>
        </w:rPr>
        <w:t>) в сети «Интернет» размещает информацию о проведенных контрольных мероприятиях, о выявленных нарушениях, о внесенных представлениях, заключения по экспертно-аналитическим мероприятиям.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Общее количество информационных материалов о проведенных контрольных и экспертно-аналитических мероприятиях, размещенных на официальном сайте администрации Нефтекумского городского округа, составило 61 материал.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Особое внимание при организации работы в отчетном периоде уделялось развитию взаимоотношений со Счетной палатой Ставропольского края и контрольно-счетными органами муниципальных образований в Ставропольском крае по линии оказания методологической и организационной поддержки.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lastRenderedPageBreak/>
        <w:t>Обеспечивалось участие Контрольно-счетной палаты в проводимых Думой Нефтекумского городского округа Ставропольского края заседаниях, публичных слушаниях.</w:t>
      </w:r>
    </w:p>
    <w:p w:rsidR="0034648D" w:rsidRPr="0034648D" w:rsidRDefault="0034648D" w:rsidP="0034648D">
      <w:pPr>
        <w:ind w:firstLine="709"/>
        <w:jc w:val="both"/>
        <w:rPr>
          <w:sz w:val="28"/>
          <w:szCs w:val="28"/>
        </w:rPr>
      </w:pPr>
      <w:r w:rsidRPr="0034648D">
        <w:rPr>
          <w:sz w:val="28"/>
          <w:szCs w:val="28"/>
        </w:rPr>
        <w:t>В 2020 году председатель Контрольно-счетной палаты была включена в межведомственную комиссию по противодействию коррупции при администрации Нефтекумского городского округа и принимала участие в заседаниях комиссии.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</w:p>
    <w:p w:rsidR="0034648D" w:rsidRPr="0034648D" w:rsidRDefault="0034648D" w:rsidP="0034648D">
      <w:pPr>
        <w:ind w:firstLine="709"/>
        <w:jc w:val="center"/>
        <w:rPr>
          <w:b/>
          <w:color w:val="000000"/>
          <w:sz w:val="28"/>
          <w:szCs w:val="28"/>
        </w:rPr>
      </w:pPr>
      <w:r w:rsidRPr="0034648D">
        <w:rPr>
          <w:b/>
          <w:color w:val="000000"/>
          <w:sz w:val="28"/>
          <w:szCs w:val="28"/>
        </w:rPr>
        <w:t>6. Основные направления деятельности на 2021 год</w:t>
      </w:r>
    </w:p>
    <w:p w:rsidR="0034648D" w:rsidRPr="0034648D" w:rsidRDefault="0034648D" w:rsidP="0034648D">
      <w:pPr>
        <w:ind w:firstLine="709"/>
        <w:jc w:val="center"/>
        <w:rPr>
          <w:b/>
          <w:color w:val="000000"/>
          <w:sz w:val="28"/>
          <w:szCs w:val="28"/>
        </w:rPr>
      </w:pP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В 2021 году Контрольно-счетной палатой будет продолжена работа по обеспечению информационной открытости и гласности в своей деятельности, повышению качества контроля путем усовершенствования и актуализации нормативной базы, по осуществлению внешнего муниципального финансового контроля по ключевым направлениям. Приоритетной задачей Контрольно-счетной палаты остается контроль соблюдения принципов законности, эффективности и результативности использования средств местного бюджета на всех уровнях и этапах бюджетного процесса.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>Планирование деятельности Контрольно-счетной палаты на 2021 год осуществлялось из необходимости охвата полномочий, определенных бюджетным законодательством и Федеральным законом № 6-ФЗ.</w:t>
      </w:r>
    </w:p>
    <w:p w:rsidR="0034648D" w:rsidRPr="0034648D" w:rsidRDefault="0034648D" w:rsidP="0034648D">
      <w:pPr>
        <w:ind w:firstLine="709"/>
        <w:jc w:val="both"/>
        <w:rPr>
          <w:color w:val="000000"/>
          <w:sz w:val="28"/>
          <w:szCs w:val="28"/>
        </w:rPr>
      </w:pPr>
      <w:r w:rsidRPr="0034648D">
        <w:rPr>
          <w:color w:val="000000"/>
          <w:sz w:val="28"/>
          <w:szCs w:val="28"/>
        </w:rPr>
        <w:t xml:space="preserve">В рамках деятельности Контрольно-счетной палаты и в дальнейшем будет осуществляться </w:t>
      </w:r>
      <w:proofErr w:type="gramStart"/>
      <w:r w:rsidRPr="0034648D">
        <w:rPr>
          <w:color w:val="000000"/>
          <w:sz w:val="28"/>
          <w:szCs w:val="28"/>
        </w:rPr>
        <w:t>контроль за</w:t>
      </w:r>
      <w:proofErr w:type="gramEnd"/>
      <w:r w:rsidRPr="0034648D">
        <w:rPr>
          <w:color w:val="000000"/>
          <w:sz w:val="28"/>
          <w:szCs w:val="28"/>
        </w:rPr>
        <w:t xml:space="preserve"> составлением и исполнением бюджета Нефтекумского городского округа.</w:t>
      </w:r>
    </w:p>
    <w:p w:rsidR="0034648D" w:rsidRPr="0034648D" w:rsidRDefault="0034648D" w:rsidP="0034648D">
      <w:pPr>
        <w:jc w:val="center"/>
        <w:rPr>
          <w:color w:val="000000"/>
          <w:sz w:val="28"/>
          <w:szCs w:val="28"/>
        </w:rPr>
      </w:pPr>
    </w:p>
    <w:p w:rsidR="0034648D" w:rsidRPr="0034648D" w:rsidRDefault="0034648D" w:rsidP="0034648D">
      <w:pPr>
        <w:jc w:val="center"/>
        <w:rPr>
          <w:color w:val="000000"/>
          <w:sz w:val="28"/>
          <w:szCs w:val="28"/>
        </w:rPr>
      </w:pPr>
    </w:p>
    <w:p w:rsidR="0089374E" w:rsidRDefault="0089374E" w:rsidP="0034648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89374E" w:rsidRDefault="0089374E" w:rsidP="0034648D">
      <w:pPr>
        <w:rPr>
          <w:sz w:val="28"/>
          <w:szCs w:val="28"/>
        </w:rPr>
      </w:pPr>
      <w:r>
        <w:rPr>
          <w:sz w:val="28"/>
          <w:szCs w:val="28"/>
        </w:rPr>
        <w:t xml:space="preserve">Нефтекумского городского округа </w:t>
      </w:r>
    </w:p>
    <w:p w:rsidR="0034648D" w:rsidRPr="0034648D" w:rsidRDefault="0089374E" w:rsidP="0034648D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34648D" w:rsidRPr="0034648D">
        <w:rPr>
          <w:sz w:val="28"/>
          <w:szCs w:val="28"/>
        </w:rPr>
        <w:t xml:space="preserve">                                                                    Г. В. Хусейнова</w:t>
      </w:r>
    </w:p>
    <w:p w:rsidR="00B854C7" w:rsidRPr="0034648D" w:rsidRDefault="00B854C7" w:rsidP="0034648D">
      <w:pPr>
        <w:jc w:val="right"/>
      </w:pPr>
    </w:p>
    <w:sectPr w:rsidR="00B854C7" w:rsidRPr="0034648D" w:rsidSect="00E0119B">
      <w:footerReference w:type="default" r:id="rId14"/>
      <w:pgSz w:w="11906" w:h="16838" w:code="9"/>
      <w:pgMar w:top="851" w:right="851" w:bottom="85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AC" w:rsidRDefault="00D363AC" w:rsidP="00797632">
      <w:r>
        <w:separator/>
      </w:r>
    </w:p>
  </w:endnote>
  <w:endnote w:type="continuationSeparator" w:id="0">
    <w:p w:rsidR="00D363AC" w:rsidRDefault="00D363AC" w:rsidP="0079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9" w:rsidRDefault="00D363A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AC" w:rsidRDefault="00D363AC" w:rsidP="00797632">
      <w:r>
        <w:separator/>
      </w:r>
    </w:p>
  </w:footnote>
  <w:footnote w:type="continuationSeparator" w:id="0">
    <w:p w:rsidR="00D363AC" w:rsidRDefault="00D363AC" w:rsidP="00797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646"/>
    <w:multiLevelType w:val="hybridMultilevel"/>
    <w:tmpl w:val="61F0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54D19"/>
    <w:multiLevelType w:val="hybridMultilevel"/>
    <w:tmpl w:val="E358396C"/>
    <w:lvl w:ilvl="0" w:tplc="6BD8B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13F57"/>
    <w:multiLevelType w:val="hybridMultilevel"/>
    <w:tmpl w:val="58BCAF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E6A35"/>
    <w:multiLevelType w:val="hybridMultilevel"/>
    <w:tmpl w:val="8F7E75D2"/>
    <w:lvl w:ilvl="0" w:tplc="43E050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975F9"/>
    <w:multiLevelType w:val="hybridMultilevel"/>
    <w:tmpl w:val="31EEBF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B3F59"/>
    <w:multiLevelType w:val="multilevel"/>
    <w:tmpl w:val="59301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5842D87"/>
    <w:multiLevelType w:val="hybridMultilevel"/>
    <w:tmpl w:val="0F8E193A"/>
    <w:lvl w:ilvl="0" w:tplc="6EA4F8D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8424223"/>
    <w:multiLevelType w:val="multilevel"/>
    <w:tmpl w:val="A81237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8" w:hanging="2160"/>
      </w:pPr>
      <w:rPr>
        <w:rFonts w:hint="default"/>
      </w:rPr>
    </w:lvl>
  </w:abstractNum>
  <w:abstractNum w:abstractNumId="8">
    <w:nsid w:val="58253F9C"/>
    <w:multiLevelType w:val="hybridMultilevel"/>
    <w:tmpl w:val="502CF71C"/>
    <w:lvl w:ilvl="0" w:tplc="D3EA33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CA2345"/>
    <w:multiLevelType w:val="hybridMultilevel"/>
    <w:tmpl w:val="DBC484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3654F4"/>
    <w:multiLevelType w:val="multilevel"/>
    <w:tmpl w:val="5C245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899708E"/>
    <w:multiLevelType w:val="hybridMultilevel"/>
    <w:tmpl w:val="6A583378"/>
    <w:lvl w:ilvl="0" w:tplc="D2CC6DDE">
      <w:start w:val="1"/>
      <w:numFmt w:val="decimal"/>
      <w:lvlText w:val="%1."/>
      <w:lvlJc w:val="left"/>
      <w:pPr>
        <w:ind w:left="2345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2">
    <w:nsid w:val="6BA153FD"/>
    <w:multiLevelType w:val="hybridMultilevel"/>
    <w:tmpl w:val="41D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11939"/>
    <w:multiLevelType w:val="hybridMultilevel"/>
    <w:tmpl w:val="35E6320E"/>
    <w:lvl w:ilvl="0" w:tplc="F786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7E1D61"/>
    <w:multiLevelType w:val="hybridMultilevel"/>
    <w:tmpl w:val="E9E6D6B4"/>
    <w:lvl w:ilvl="0" w:tplc="6EC863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2393E"/>
    <w:multiLevelType w:val="hybridMultilevel"/>
    <w:tmpl w:val="6D14FD7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207C9"/>
    <w:multiLevelType w:val="hybridMultilevel"/>
    <w:tmpl w:val="88A489AE"/>
    <w:lvl w:ilvl="0" w:tplc="25D26E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EB5BF8"/>
    <w:multiLevelType w:val="hybridMultilevel"/>
    <w:tmpl w:val="7F66017C"/>
    <w:lvl w:ilvl="0" w:tplc="68EA6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17"/>
  </w:num>
  <w:num w:numId="11">
    <w:abstractNumId w:val="1"/>
  </w:num>
  <w:num w:numId="12">
    <w:abstractNumId w:val="5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D48"/>
    <w:rsid w:val="000B2A1C"/>
    <w:rsid w:val="00112988"/>
    <w:rsid w:val="001F6282"/>
    <w:rsid w:val="00321C32"/>
    <w:rsid w:val="0034648D"/>
    <w:rsid w:val="00372DA7"/>
    <w:rsid w:val="003F377F"/>
    <w:rsid w:val="005B3FED"/>
    <w:rsid w:val="00797632"/>
    <w:rsid w:val="00847DF5"/>
    <w:rsid w:val="00852A02"/>
    <w:rsid w:val="0089374E"/>
    <w:rsid w:val="008D4D48"/>
    <w:rsid w:val="00B365A3"/>
    <w:rsid w:val="00B854C7"/>
    <w:rsid w:val="00BA12FD"/>
    <w:rsid w:val="00C46E6D"/>
    <w:rsid w:val="00D363AC"/>
    <w:rsid w:val="00D65AB1"/>
    <w:rsid w:val="00D663D4"/>
    <w:rsid w:val="00E82D79"/>
    <w:rsid w:val="00F5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D4D48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"/>
    <w:qFormat/>
    <w:rsid w:val="008D4D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D4D4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D4D48"/>
    <w:rPr>
      <w:rFonts w:ascii="Cambria" w:eastAsia="Times New Roman" w:hAnsi="Cambria" w:cs="Times New Roman"/>
      <w:lang w:eastAsia="ru-RU"/>
    </w:rPr>
  </w:style>
  <w:style w:type="paragraph" w:styleId="aa">
    <w:name w:val="footer"/>
    <w:basedOn w:val="a"/>
    <w:link w:val="12"/>
    <w:rsid w:val="008D4D48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0"/>
    <w:link w:val="aa"/>
    <w:uiPriority w:val="99"/>
    <w:rsid w:val="008D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8D4D48"/>
  </w:style>
  <w:style w:type="paragraph" w:styleId="ad">
    <w:name w:val="header"/>
    <w:basedOn w:val="a"/>
    <w:link w:val="ae"/>
    <w:uiPriority w:val="99"/>
    <w:unhideWhenUsed/>
    <w:rsid w:val="008D4D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rsid w:val="008D4D48"/>
    <w:pPr>
      <w:spacing w:line="276" w:lineRule="auto"/>
      <w:ind w:firstLine="567"/>
      <w:jc w:val="both"/>
    </w:pPr>
    <w:rPr>
      <w:b/>
      <w:bCs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semiHidden/>
    <w:rsid w:val="008D4D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8D4D48"/>
    <w:pPr>
      <w:spacing w:line="360" w:lineRule="auto"/>
      <w:ind w:firstLine="708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D4D4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8D4D48"/>
    <w:pPr>
      <w:ind w:firstLine="540"/>
      <w:jc w:val="both"/>
    </w:pPr>
    <w:rPr>
      <w:bCs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8D4D48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f1">
    <w:name w:val="Body Text"/>
    <w:basedOn w:val="a"/>
    <w:link w:val="af2"/>
    <w:rsid w:val="008D4D48"/>
    <w:pPr>
      <w:spacing w:after="120"/>
    </w:pPr>
    <w:rPr>
      <w:rFonts w:ascii="Calibri" w:eastAsia="Calibri" w:hAnsi="Calibri"/>
    </w:rPr>
  </w:style>
  <w:style w:type="character" w:customStyle="1" w:styleId="af2">
    <w:name w:val="Основной текст Знак"/>
    <w:basedOn w:val="a0"/>
    <w:link w:val="af1"/>
    <w:rsid w:val="008D4D48"/>
    <w:rPr>
      <w:rFonts w:ascii="Calibri" w:hAnsi="Calibri" w:cs="Times New Roman"/>
      <w:sz w:val="24"/>
      <w:szCs w:val="24"/>
      <w:lang w:eastAsia="ru-RU"/>
    </w:rPr>
  </w:style>
  <w:style w:type="paragraph" w:customStyle="1" w:styleId="13">
    <w:name w:val="1"/>
    <w:basedOn w:val="a"/>
    <w:rsid w:val="008D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8D4D48"/>
    <w:pPr>
      <w:ind w:left="720"/>
    </w:pPr>
    <w:rPr>
      <w:rFonts w:eastAsia="Calibri"/>
    </w:rPr>
  </w:style>
  <w:style w:type="character" w:styleId="af3">
    <w:name w:val="Hyperlink"/>
    <w:semiHidden/>
    <w:rsid w:val="008D4D48"/>
    <w:rPr>
      <w:color w:val="0000FF"/>
      <w:u w:val="single"/>
    </w:rPr>
  </w:style>
  <w:style w:type="table" w:styleId="af4">
    <w:name w:val="Table Grid"/>
    <w:basedOn w:val="a1"/>
    <w:uiPriority w:val="59"/>
    <w:rsid w:val="008D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rsid w:val="008D4D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8D4D4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8D4D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8D4D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8">
    <w:name w:val="Style8"/>
    <w:basedOn w:val="a"/>
    <w:rsid w:val="008D4D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D4D48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8D4D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">
    <w:name w:val="Нижний колонтитул Знак1"/>
    <w:link w:val="aa"/>
    <w:locked/>
    <w:rsid w:val="008D4D48"/>
    <w:rPr>
      <w:rFonts w:ascii="Calibri" w:hAnsi="Calibri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D4D48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rmal (Web)"/>
    <w:basedOn w:val="a"/>
    <w:uiPriority w:val="99"/>
    <w:rsid w:val="008D4D48"/>
    <w:pPr>
      <w:spacing w:before="100" w:beforeAutospacing="1" w:after="100" w:afterAutospacing="1"/>
    </w:pPr>
  </w:style>
  <w:style w:type="paragraph" w:styleId="afb">
    <w:name w:val="caption"/>
    <w:basedOn w:val="a"/>
    <w:next w:val="a"/>
    <w:qFormat/>
    <w:rsid w:val="008D4D48"/>
    <w:pPr>
      <w:spacing w:before="120"/>
      <w:ind w:left="-142" w:right="-426"/>
      <w:jc w:val="center"/>
    </w:pPr>
    <w:rPr>
      <w:b/>
      <w:sz w:val="36"/>
      <w:szCs w:val="20"/>
    </w:rPr>
  </w:style>
  <w:style w:type="paragraph" w:customStyle="1" w:styleId="afc">
    <w:name w:val="а_обычный"/>
    <w:basedOn w:val="a"/>
    <w:rsid w:val="008D4D48"/>
    <w:pPr>
      <w:snapToGrid w:val="0"/>
      <w:spacing w:before="60" w:line="360" w:lineRule="auto"/>
      <w:ind w:firstLine="720"/>
      <w:jc w:val="both"/>
    </w:pPr>
    <w:rPr>
      <w:color w:val="000000"/>
      <w:sz w:val="28"/>
      <w:szCs w:val="20"/>
    </w:rPr>
  </w:style>
  <w:style w:type="paragraph" w:customStyle="1" w:styleId="ConsNormal">
    <w:name w:val="ConsNormal"/>
    <w:rsid w:val="008D4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D4D48"/>
  </w:style>
  <w:style w:type="character" w:customStyle="1" w:styleId="apple-converted-space">
    <w:name w:val="apple-converted-space"/>
    <w:basedOn w:val="a0"/>
    <w:rsid w:val="008D4D48"/>
  </w:style>
  <w:style w:type="paragraph" w:customStyle="1" w:styleId="210">
    <w:name w:val="Основной текст с отступом 21"/>
    <w:basedOn w:val="a"/>
    <w:rsid w:val="008D4D48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Содержимое таблицы"/>
    <w:basedOn w:val="a"/>
    <w:rsid w:val="008D4D48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Title">
    <w:name w:val="ConsTitle"/>
    <w:rsid w:val="008D4D48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73">
    <w:name w:val="Font Style73"/>
    <w:rsid w:val="008D4D48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D4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Знак"/>
    <w:basedOn w:val="a"/>
    <w:rsid w:val="008D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Emphasis"/>
    <w:qFormat/>
    <w:rsid w:val="008D4D48"/>
    <w:rPr>
      <w:i/>
      <w:iCs/>
    </w:rPr>
  </w:style>
  <w:style w:type="paragraph" w:customStyle="1" w:styleId="41">
    <w:name w:val="Основной текст 4"/>
    <w:basedOn w:val="af"/>
    <w:rsid w:val="008D4D48"/>
    <w:pPr>
      <w:spacing w:before="120" w:after="120" w:line="360" w:lineRule="auto"/>
      <w:ind w:left="283" w:firstLine="720"/>
    </w:pPr>
    <w:rPr>
      <w:b w:val="0"/>
      <w:bCs w:val="0"/>
      <w:sz w:val="24"/>
      <w:szCs w:val="24"/>
      <w:lang w:eastAsia="ar-SA"/>
    </w:rPr>
  </w:style>
  <w:style w:type="character" w:customStyle="1" w:styleId="HTML">
    <w:name w:val="Стандартный HTML Знак"/>
    <w:link w:val="HTML0"/>
    <w:semiHidden/>
    <w:rsid w:val="008D4D48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unhideWhenUsed/>
    <w:rsid w:val="008D4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D4D48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tekstob">
    <w:name w:val="tekstob"/>
    <w:basedOn w:val="a"/>
    <w:rsid w:val="008D4D48"/>
    <w:pPr>
      <w:spacing w:before="280" w:after="280"/>
    </w:pPr>
    <w:rPr>
      <w:lang w:eastAsia="ar-SA"/>
    </w:rPr>
  </w:style>
  <w:style w:type="paragraph" w:customStyle="1" w:styleId="msolistparagraphbullet1gif">
    <w:name w:val="msolistparagraphbullet1.gif"/>
    <w:basedOn w:val="a"/>
    <w:rsid w:val="008D4D48"/>
    <w:pPr>
      <w:spacing w:before="100" w:beforeAutospacing="1" w:after="100" w:afterAutospacing="1"/>
    </w:pPr>
  </w:style>
  <w:style w:type="character" w:customStyle="1" w:styleId="WW8Num4z0">
    <w:name w:val="WW8Num4z0"/>
    <w:rsid w:val="008D4D48"/>
    <w:rPr>
      <w:rFonts w:ascii="Symbol" w:hAnsi="Symbol"/>
    </w:rPr>
  </w:style>
  <w:style w:type="paragraph" w:customStyle="1" w:styleId="ConsPlusNormal">
    <w:name w:val="ConsPlusNormal"/>
    <w:rsid w:val="008D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8D4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D791C5EB84C74A088BA8A9E6100975E7E282E19F7980847FB8271842212ED40839AAE15BC06AD8D2iER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56065/f4823c3311874efd0ecdfa668c9705968edbc47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91C5EB84C74A088BA8A9E6100975E7E282E19F7980847FB8271842212ED40839AAE15BC06AD8D2iE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9</cp:revision>
  <cp:lastPrinted>2021-03-30T08:47:00Z</cp:lastPrinted>
  <dcterms:created xsi:type="dcterms:W3CDTF">2021-03-25T14:14:00Z</dcterms:created>
  <dcterms:modified xsi:type="dcterms:W3CDTF">2021-03-31T08:11:00Z</dcterms:modified>
</cp:coreProperties>
</file>