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 края вследствие теплой зимы специалисты прогнозируют повышенную активность насекомых-вредителей, в том числе саранчи.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Основным фактором напряжения, помимо климатических и возможных перелетов стай, является ослабление внимания к места</w:t>
      </w:r>
      <w:r w:rsidR="0030763B">
        <w:rPr>
          <w:rFonts w:ascii="Times New Roman" w:hAnsi="Times New Roman" w:cs="Times New Roman"/>
          <w:bCs/>
          <w:iCs/>
          <w:sz w:val="28"/>
          <w:szCs w:val="28"/>
        </w:rPr>
        <w:t>м постоянной резервации саранчи».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межрегиональное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Управление) информирует о необходимости проведения фитосанитарного мониторинга, а также о разрешенных к использованию препаратах для борьбы с вредителями.</w:t>
      </w:r>
    </w:p>
    <w:p w:rsidR="004C7B04" w:rsidRDefault="004C7B04" w:rsidP="004C7B04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Управления направлена на предупреждение, выявление и пресечение нарушений обязательных требований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4C7B04" w:rsidRDefault="004C7B04" w:rsidP="004C7B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рамках федерального государственного контроля (надзора)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обеспечивается оценка соблюдения обязательных требований, изложенных в части 2 статьи 22 Федерального закона от 19.07.1997 № 109-ФЗ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статье 16 Федерального закона от 30.12.2020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 490-ФЗ «О пчеловодстве в Российской Федерации». Ответственность за нарушение требований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предусмотрена ст. 8.3 Кодекса Российской Федерации об административных правонарушениях.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Официальным документом, содержащим перечень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разрешенных к обороту на территории Российской Федерации, в том числе для применения гражданами и юридическими лицами в сельском, лесном, коммунальном и личном подсобном хозяйствах, является «Государственный каталог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разрешенных к применению на территории Российской Федерации» (далее – Государственный каталог ПА).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регламенты применения пестицидов, установленные в ходе их регистрационных испытаний, приведены в Государственном каталоге ПА, включая информацию о классах опасности для человека. Оборот пестицидов, не внесенных в Государственный каталог ПА, недопустим.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для борьбы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саранчовыми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разрешены препараты, на основе 15 действующих веществ: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Альфа-циперм</w:t>
      </w:r>
      <w:proofErr w:type="spellEnd"/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tabs>
          <w:tab w:val="left" w:pos="5420"/>
        </w:tabs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Альфа-циперм</w:t>
      </w:r>
      <w:proofErr w:type="spellEnd"/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трин+имидаклоприд+клотианидин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ab/>
        <w:t>(авиа только для пастбищ);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Диметоат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бета-циперметрин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Дифлубензурон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(авиа только для пастбищ);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Дифлубензурон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имидаклоприд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Дифлубензурон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эсфенвалерат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Зета-циперметрин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Имидаклоприд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Имидаклоприд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лямбда-цигалотрин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Клотианидин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Лямбда-цигалотрин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Фипронил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Хлорпирифос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циперметрин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7B04" w:rsidRPr="00DD373C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Bacillus</w:t>
      </w:r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thuringiensis</w:t>
      </w:r>
      <w:proofErr w:type="spellEnd"/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Hi</w:t>
      </w:r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Beauveriabassiana</w:t>
      </w:r>
      <w:proofErr w:type="spellEnd"/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BB</w:t>
      </w:r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1 +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Streptomyces</w:t>
      </w:r>
      <w:proofErr w:type="spellEnd"/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sp</w:t>
      </w:r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.3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NN</w:t>
      </w:r>
      <w:r w:rsidRPr="00DD37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;</w:t>
      </w:r>
    </w:p>
    <w:p w:rsidR="004C7B04" w:rsidRDefault="004C7B04" w:rsidP="004C7B0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Beauveria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bassiana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Два последних действующих вещества относятся к биологическим препаратам с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энтомопататогенным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действием и в меньшей степени опасны для окружающей среды и в частности для пчел.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массированной химической обработки при вспышке численности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саранчовых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когда вредители уже занимают обширные территории, экологически небезопасен. Необходимо отметить, что только некоторые препараты доказали свою эффективность при авиационном применении. Не стоит забывать, что регламент предусматривает опрыскивание  пастбищных угодий и территорий, занятых дикой растительностью и только в некоторых случаях буферные зоны. Эффективность ряда препаратов будет достигнута  только при опрыскивании в период развития личинок. Сбор грибов и ягод после обработок дикой растительности в сезон обработок не допускается, срок возможного пребывания на обработанных площадях ограничен.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использовании инсектицидов необходимо неукоснительно следовать экологическому регламенту, который содержится в Каталоге ПА!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Единственная альтернатива широкого использования химических средств борьбы с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саранчей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выбор стратегии превентивного контроля популяций саранчи и фитосанитарный мониторинг. Для этого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необходим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мониторинге мест обитания насекомых во время важных периодов годичного цикла вредителей для раннего обнаружения подъема численности и изменения поведения. Это обеспечит раннее оповещение и действенное реагирование и предотвратит развитие крупных масштабных вспышек.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Стадные виды саранчовых могут существовать в разных фазах: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одиночной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переходной и стадной. И если в одиночной фазе саранча – достаточно безобидное существо и не наносит вреда, то при многократном увеличении плотности популяции она переходит в стадную фазу и образует кулиги (скопления личинок). Личинки чрезвычайно вредоносны, каждая особь за день может съесть количество пищи, равное ей по весу. Окрылившись, саранча объединяется в гигантские стаи, которые за короткий срок преодолевают огромные расстояния, более 100 - 200 км в сутки. В стадной фазе саранча может уничтожить тысячи тонн растений в день.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предупреждает, что за нарушение правил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по ст. 8.3 КоАП РФ.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пестицидов необходимо отражать в Федеральной государственной информационной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«САТУРН» согласно планам применения. Информация о применении пестицидов подлежит доведению через средства массовой информации (радио, печатные органы, электронные и другие средства связи и коммуникации) не ранее чем за десять дней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их применения.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нарушений предусмотрена ответственность в виде штрафов или приостановления деятельности: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  <w:t>на граждан в размере от одной тысячи до двух тысяч рублей;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на должностных лиц — от двух тысяч до пяти тысяч рублей;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на лиц, осуществляющих предпринимательскую деятельность без образования юридического лица — от двух тысяч до пяти тысяч рублей или административное приостановление деятельности на срок до девяноста суток;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на юридических лиц — от десяти тысяч до ста тысяч рублей или административное приостановление деятельности на срок до девяноста суток.</w:t>
      </w:r>
    </w:p>
    <w:p w:rsidR="004C7B04" w:rsidRDefault="004C7B04" w:rsidP="004C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оказать содействие в широком информировании хозяйствующих субъектов на надлежащее выполнение требований законодательства Российской Федерации в области безопасного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4C7B04" w:rsidSect="00591F28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7F7579"/>
    <w:multiLevelType w:val="hybridMultilevel"/>
    <w:tmpl w:val="FFAAD84C"/>
    <w:lvl w:ilvl="0" w:tplc="540483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90413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D497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E89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6054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666F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46E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5E0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C65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4A576E"/>
    <w:multiLevelType w:val="multilevel"/>
    <w:tmpl w:val="A23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E6A52"/>
    <w:rsid w:val="000F083E"/>
    <w:rsid w:val="000F1FA5"/>
    <w:rsid w:val="000F3C2B"/>
    <w:rsid w:val="0010541C"/>
    <w:rsid w:val="00121B90"/>
    <w:rsid w:val="0016702B"/>
    <w:rsid w:val="001710FB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1C57"/>
    <w:rsid w:val="00275423"/>
    <w:rsid w:val="002B5856"/>
    <w:rsid w:val="002B5E78"/>
    <w:rsid w:val="002D19F6"/>
    <w:rsid w:val="002E3205"/>
    <w:rsid w:val="0030763B"/>
    <w:rsid w:val="0031675C"/>
    <w:rsid w:val="00345CC0"/>
    <w:rsid w:val="00347B4F"/>
    <w:rsid w:val="00350813"/>
    <w:rsid w:val="0037076D"/>
    <w:rsid w:val="003740A0"/>
    <w:rsid w:val="0038212F"/>
    <w:rsid w:val="003C6EBA"/>
    <w:rsid w:val="003F305B"/>
    <w:rsid w:val="00400FFA"/>
    <w:rsid w:val="004563F7"/>
    <w:rsid w:val="00475D7F"/>
    <w:rsid w:val="0048282A"/>
    <w:rsid w:val="004A75F8"/>
    <w:rsid w:val="004C0D88"/>
    <w:rsid w:val="004C290D"/>
    <w:rsid w:val="004C385C"/>
    <w:rsid w:val="004C7B04"/>
    <w:rsid w:val="00501DE3"/>
    <w:rsid w:val="00524C1C"/>
    <w:rsid w:val="0053287C"/>
    <w:rsid w:val="0056230D"/>
    <w:rsid w:val="00574905"/>
    <w:rsid w:val="00591F28"/>
    <w:rsid w:val="005D3411"/>
    <w:rsid w:val="00612011"/>
    <w:rsid w:val="006423C7"/>
    <w:rsid w:val="006A3934"/>
    <w:rsid w:val="006B11D1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28B8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96312"/>
    <w:rsid w:val="00BA5C4A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DD3DE4"/>
    <w:rsid w:val="00E47CE2"/>
    <w:rsid w:val="00E7036C"/>
    <w:rsid w:val="00E7404C"/>
    <w:rsid w:val="00E83FEA"/>
    <w:rsid w:val="00E9137F"/>
    <w:rsid w:val="00EA0072"/>
    <w:rsid w:val="00EC74AA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  <w:style w:type="paragraph" w:customStyle="1" w:styleId="Default">
    <w:name w:val="Default"/>
    <w:rsid w:val="0027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DE4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74905"/>
  </w:style>
  <w:style w:type="paragraph" w:styleId="ae">
    <w:name w:val="header"/>
    <w:basedOn w:val="a"/>
    <w:link w:val="ad"/>
    <w:uiPriority w:val="99"/>
    <w:semiHidden/>
    <w:rsid w:val="0057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57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9D3E-0C46-4DE5-ADE5-BE2A05EA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Бойко</cp:lastModifiedBy>
  <cp:revision>49</cp:revision>
  <cp:lastPrinted>2025-02-07T08:11:00Z</cp:lastPrinted>
  <dcterms:created xsi:type="dcterms:W3CDTF">2015-08-06T10:26:00Z</dcterms:created>
  <dcterms:modified xsi:type="dcterms:W3CDTF">2025-02-10T08:16:00Z</dcterms:modified>
</cp:coreProperties>
</file>