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P1613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Мониторинг реализации Программы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квартал 2025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7"/>
        <w:gridCol w:w="5773"/>
        <w:gridCol w:w="2443"/>
        <w:gridCol w:w="2032"/>
        <w:gridCol w:w="1833"/>
        <w:gridCol w:w="2094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3" w:type="dxa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подпрограммы, контрольного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959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tooltip="#P1605" w:anchor="P160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3" w:type="dxa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3" w:type="dxa"/>
            <w:vMerge w:val="continue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33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pStyle w:val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1 268,80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Подпрограмма «Безопасный муниципальный округ»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highlight w:val="yellow"/>
              </w:rPr>
            </w:pPr>
            <w:r>
              <w:t xml:space="preserve">Основное мероприятие «Обеспечение антитеррористической защищенности объектов (территорий)»</w:t>
            </w:r>
            <w:r>
              <w:rPr>
                <w:rFonts w:eastAsia="Calibri"/>
                <w:color w:val="000000"/>
                <w:highlight w:val="yellow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охраны администрации охранными организациями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Финансирование не запланировано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охраны образовательных учреждений охранными организациями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Финансирование не запланировано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охраны учреждений культуры охранными организациями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-</w:t>
            </w:r>
            <w:r/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Финансирование не запланировано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  <w:color w:val="000000"/>
              </w:rPr>
              <w:t xml:space="preserve">Построение, внедрение и развитие аппаратно-программного комплекса «Безопасный город»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46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1.2.1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Выполнение работ по устройству видеонаблюдения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Противодействие экстремизму, терроризму и укрепление межнациональных отношений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1.3.1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Издание и распространение информационных материалов по профилактике экстремизма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29.08.2025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Проводятся мероприятия по закупке.</w:t>
            </w:r>
            <w:r/>
          </w:p>
          <w:p>
            <w:pPr>
              <w:jc w:val="center"/>
            </w:pPr>
            <w:r>
              <w:t xml:space="preserve">Запланировано изготовление: Листовка — 1000 штук, Буклет — 500 штук, Блокнот — 100 штук, Карманный календарь — 100 штук.</w:t>
            </w:r>
            <w:r/>
          </w:p>
          <w:p>
            <w:pPr>
              <w:jc w:val="center"/>
            </w:pPr>
            <w:r>
              <w:t xml:space="preserve">Выполнение мероприятия запланировано на </w:t>
            </w:r>
            <w:r>
              <w:t xml:space="preserve">2</w:t>
            </w:r>
            <w:r>
              <w:t xml:space="preserve"> квартал 2025 года</w:t>
            </w:r>
            <w:r/>
          </w:p>
        </w:tc>
      </w:tr>
      <w:tr>
        <w:tblPrEx/>
        <w:trPr>
          <w:trHeight w:val="219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1.3.2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информационно-пропагандистских мероприятий, направленных на профилактику идеологии терроризма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19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Проводятся мероприятия по закупке.</w:t>
            </w:r>
            <w:r/>
          </w:p>
          <w:p>
            <w:pPr>
              <w:jc w:val="center"/>
            </w:pPr>
            <w:r>
              <w:t xml:space="preserve">Запланировано изготовление: Листовки — 1000 штук, Календарь настольные — 100 штук, Календари настенные — 50 штук, Ручка металлическая — 100 штук, Плакаты А3 — 200 штук.</w:t>
            </w:r>
            <w:r/>
          </w:p>
          <w:p>
            <w:pPr>
              <w:jc w:val="center"/>
            </w:pPr>
            <w:r>
              <w:t xml:space="preserve">Выполнение мероприятия запланировано на </w:t>
            </w:r>
            <w:r>
              <w:t xml:space="preserve">2</w:t>
            </w:r>
            <w:r>
              <w:t xml:space="preserve"> квартал 2025 года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1.3.3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Анкетирование учащихся общеобразовательных учреждений, студентов Нефтекумского регионального политехнического колледжа по теме «Проблема молодёжного экстремизма и терроризма в Российской Федерации»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19.12.2025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1.3.4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Обследование общеобразовательных учреждений на предмет антитеррористической защищенности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Выполнение мероприятия запланировано на 3 квартал 2025 года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1.3.5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Проведение профилактических бесед воспитательного характера по теме «Причины появления и недопущения фактов «Колумбайн» и «Скулшутинг» среди учащихся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ind w:firstLine="705"/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1.4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Развитие межнациональной и межрелигиозной толерантности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1.4.1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Проведение культурно-просветительских и воспитательных мероприятий по привитию учащейся молодежи идей межнациональной и межрелигиозной толерантности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ind w:firstLine="708"/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1.4.2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Проведение пропагандистских мероприятий среди населения с участием представителей национально-</w:t>
            </w:r>
            <w:r>
              <w:t xml:space="preserve">культурных объединений, религиозных организаций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22.12.2025/19.03.2025, 20.03.2025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6"/>
                <w:szCs w:val="26"/>
              </w:rPr>
              <w:t xml:space="preserve">           </w:t>
            </w:r>
            <w:r>
              <w:t xml:space="preserve">19 марта 2025 года в рамках исполнения «Комплексного плана противодействия идеологии терроризма в Российской Федерации на 2024-2028 годы» состоялась беседа </w:t>
            </w:r>
            <w:r>
              <w:t xml:space="preserve">с учащимися 8-11 классов общеобразовательных учреждений города Нефтекумска на тему: «О недопущении распространения неонацистских проявлений в молодёжной среде». Актуальность выбранной темы состоит в том, что исходя из психологических особенностей возраста </w:t>
            </w:r>
            <w:r>
              <w:t xml:space="preserve">подрастающего поколения, таких как: стремление к героизму, получение новых ярких эмоций, поиску своего предназначения и многих других, террористические объединения активно распространяют радикальные идеи в молодежной среде с целью привлечения в свои ряды. </w:t>
            </w:r>
            <w:r/>
          </w:p>
          <w:p>
            <w:pPr>
              <w:jc w:val="both"/>
            </w:pPr>
            <w:r>
              <w:tab/>
            </w:r>
            <w:r>
              <w:t xml:space="preserve">20 марта 2025 года в рамках исполнения «Комплексного плана противодействия идеологии терроризма в Российской Федерации на 2024-2028 годы» состоялась беседа </w:t>
            </w:r>
            <w:r>
              <w:t xml:space="preserve">с педагогами и учащимися 9-11 классов муниципального казенного общеобразовательного учреждения «Средняя общеобразовательная школа» № 16 с. Каясула на тему: «О профилактике распространения неонацистских проявлений и идеологии терроризма в молодёжной среде».</w:t>
            </w:r>
            <w:r/>
          </w:p>
          <w:p>
            <w:pPr>
              <w:jc w:val="both"/>
              <w:rPr>
                <w:highlight w:val="yellow"/>
              </w:rPr>
            </w:pPr>
            <w:r>
              <w:tab/>
            </w:r>
            <w:r>
              <w:t xml:space="preserve">20 марта 2025 года в муниципальном бюджетном учреждении дополнительного образования «Центр внешкольной работы» Нефтекумского муниципального округа Ставропольского края прошел круглый стол на тему «</w:t>
            </w:r>
            <w:r>
              <w:rPr>
                <w:color w:val="000000"/>
                <w:shd w:val="clear" w:color="auto" w:fill="ffffff"/>
              </w:rPr>
              <w:t xml:space="preserve">Мы против террора». В мероприятии приняли участие представители правоохранительных органов, администрации округа, а также педагоги и старшеклассники городских шк</w:t>
            </w:r>
            <w:r>
              <w:rPr>
                <w:color w:val="000000"/>
                <w:shd w:val="clear" w:color="auto" w:fill="ffffff"/>
              </w:rPr>
              <w:t xml:space="preserve">ол. Круглый стол "Мы против террора" стал важным шагом к формированию активной гражданской позиции среди молодежи. Участники проявили активность и заинтересованность. В ходе обсуждения делились своими мыслями и переживаниями, связанными с темой терроризма.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1.4.3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Проведение семинаров, направленных на укрепление традиционных духовно-нравственных ценностей народов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22.12.2025/28.02.2025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27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t xml:space="preserve">     28 февраля 2025 года в муниципальном бюджетном учреждении дополнительного образования «Центр внешкольной работы» Нефтекумского муниципального округа Ставропольского </w:t>
            </w:r>
            <w:r>
              <w:t xml:space="preserve">края состоялся семинар на тему: «Роль педагогов в воспитании неприятия идеологии терроризма и экстремизма». В мероприятии приняли участие руководители общеобразовательных учреждений, педагоги, представители администрации округа, центра внешкольной работы. </w:t>
            </w:r>
            <w:r>
              <w:tab/>
              <w:t xml:space="preserve">В ходе семинара был</w:t>
            </w:r>
            <w:r>
              <w:t xml:space="preserve">и рассмотрены важные аспекты деятельности, направленной на противодействие идеологии терроризма и экстремизма, идеям неонацизма в подростковой среде и роли руководителей в обеспечении антитеррористической защищенности общеобразовательных учреждений округа.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27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Организация поддержки казачьим дружинам для участия в охране общественного порядка</w:t>
            </w:r>
            <w:r>
              <w:rPr>
                <w:rFonts w:eastAsia="Calibri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1.5.1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конкурсного отбора казачьих обществ на получение субсидий за счет </w:t>
            </w:r>
            <w:r>
              <w:rPr>
                <w:rFonts w:eastAsia="Calibri"/>
                <w:color w:val="000000"/>
              </w:rPr>
              <w:t xml:space="preserve">средств бюджета Нефтекумского муниципального округа Ставропольского края на осуществление деятельности по профилактике социально опасных форм поведения граждан и организацию деятельности казачьих дружин по участию в обеспечении охраны общественного порядка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1.6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Создание условий для привлечения граждан и их объединений к участию в обеспечении охраны </w:t>
            </w:r>
            <w:r>
              <w:rPr>
                <w:rFonts w:eastAsia="Calibri"/>
                <w:color w:val="000000"/>
              </w:rPr>
              <w:t xml:space="preserve">общественного порядка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1.6.1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конкурса среди добровольных народных дружин Нефтекумского муниципального округа Ставропольского края «Лучшая народная дружина»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01.12.2025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1.6.2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Материально-техническое обеспечения деятельности народных дружин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31.07.2025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1.6.3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Обеспечение страхованием жизни и здоровья членов добровольных народных дружин на период их участия в мероприятиях по охране общественного порядка на территории Нефтекумского муниципального округа Ставропольского края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31.07.2025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1.7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Профилактика правонарушений несовершеннолетних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1.7.1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профилактических мероприятий среди несовершеннолетних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1.8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Профилактика рецидивной преступности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1.8.1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t xml:space="preserve">Принятие мер по социальной реабилитации и ресоциализации лиц, отбывших уголовных наказание в виде лишение свободы или подвергшихся иным мерам уголовно-правового характера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Проведено 25 профилактических бесед с лицами состоящими на учете в Нефтекумском межмуниципальном филиале ФКУ УФСИН России по Ставропольского краю</w:t>
            </w:r>
            <w:r>
              <w:t xml:space="preserve">, доведена информация о организациях осуществляющих услуги оказания помощи в трудоустройстве и социальной помощи, ответственности за повторное совершение правонарушений.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1.8.2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Проведение бесед, встреч, оказание содействия в получении трудоустройства, обес</w:t>
            </w:r>
            <w:r>
              <w:rPr>
                <w:color w:val="000000"/>
              </w:rPr>
              <w:t xml:space="preserve">печение социальными и другими видами услуг, социальная адаптация, доведение до лиц, ранее осужденных, информации о моральной и правовой ответственности перед обществом, государством, социальных и правовых последствий продолжения антиобщественного поведения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За первый квартал 2025 года </w:t>
            </w:r>
            <w:r>
              <w:t xml:space="preserve">на учет в территориальном центре занятости населения</w:t>
            </w:r>
            <w:r>
              <w:t xml:space="preserve"> </w:t>
            </w:r>
            <w:r>
              <w:t xml:space="preserve">встал 1 человек из числа лиц</w:t>
            </w:r>
            <w:r>
              <w:t xml:space="preserve">,</w:t>
            </w:r>
            <w:r>
              <w:t xml:space="preserve"> освободившихся из мест лишения свободы</w:t>
            </w:r>
            <w:r>
              <w:t xml:space="preserve">. </w:t>
            </w:r>
            <w:r>
              <w:t xml:space="preserve">До лиц доведена</w:t>
            </w:r>
            <w:r>
              <w:t xml:space="preserve"> отбывших уголовных наказание в виде лишение свободы или подвергшихся иным мерам уголовно-правового характера</w:t>
            </w:r>
            <w:r>
              <w:t xml:space="preserve">, прибывших на территорию Нефтекумского муниципального округа Ставропольского края доведена информация о организациях осуществляющих услуги оказания помощи в трудоустройстве и социальной помощи, ответственности за повторное совершение </w:t>
            </w:r>
            <w:r>
              <w:t xml:space="preserve">правонарушений.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1.8.3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информационных материалов по профилактике рецидивной преступности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 xml:space="preserve">2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t xml:space="preserve">.11.202</w:t>
            </w:r>
            <w:r>
              <w:rPr>
                <w:color w:val="000000"/>
              </w:rPr>
              <w:t xml:space="preserve">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</w:pPr>
            <w:r>
              <w:t xml:space="preserve">1.8.4</w:t>
            </w:r>
            <w:r/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встреч с представителями заинтересован</w:t>
            </w:r>
            <w:r>
              <w:rPr>
                <w:rFonts w:eastAsia="Calibri"/>
                <w:color w:val="000000"/>
              </w:rPr>
              <w:t xml:space="preserve">ных организаций различных форм собственности в рамках установленных полномочий в создании на территории Нефтекумского муниципального округа Ставропольского края участка исправительного центра для обеспечения исполнения наказания в виде принудительных работ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t xml:space="preserve">1.9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Профилактика мошенничества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1.9.1</w:t>
            </w:r>
            <w:r/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Организация проведения встреч с населением с целью предупреждения мошенничества, включая преступления, совершаемые с использованием информационно-телекоммуникационных технологий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  <w:t xml:space="preserve">.12.2025/30.03.2025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Администрацией округа в отчетном периоде организованно информирование граждан по месту жительства о наиболее распространенных формах и способах совершения преступных посягательств, в том числе, о получивших ра</w:t>
            </w:r>
            <w:r>
              <w:t xml:space="preserve">спространение новых способах мошеннических действий. Информация размещена на информационных стендах подведомственных организаций, в местах с массовым пребыванием граждан и на официальных сайтах и страницах в социальных сетях информационной сети «Интернет».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</w:pPr>
            <w:r>
              <w:t xml:space="preserve">1.9.2</w:t>
            </w:r>
            <w:r/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информационных материалов по профилактике рецидивной преступности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28.11.2025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Профилактика «пьяной» преступности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1.10.1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Оказание воспитательного воздействия на лиц в целях недопущения совершения правонарушений или антиобщественного поведения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30.12.2025/31.03.2025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ind w:firstLine="709"/>
              <w:jc w:val="both"/>
            </w:pPr>
            <w:r>
              <w:t xml:space="preserve">Размещена информация на темы </w:t>
            </w:r>
            <w:r>
              <w:rPr>
                <w:color w:val="000000"/>
                <w:spacing w:val="2"/>
                <w:lang w:bidi="ru-RU"/>
              </w:rPr>
              <w:t xml:space="preserve">«О последствиях незаконного производства, приобретения, хранения или сбыта алкогольной и спиртосодержащей продукции», </w:t>
            </w:r>
            <w:r>
              <w:t xml:space="preserve">«Об опасности потребления нелегальной и суррогатной спиртосодержащей продукции» на официальном сайте администрации Нефтекумского муниципального округа Ставр</w:t>
            </w:r>
            <w:r>
              <w:t xml:space="preserve">опольского края, на официальных страницах в социальных сетях и Телеграмм-каналах подведомственных организаций. Проведено 25 профилактических бесед с лицами состоящими на учете в Нефтекумском межмуниципальном филиале ФКУ УФСИН России по Ставропольского краю</w:t>
            </w:r>
            <w:r>
              <w:t xml:space="preserve">, доведена информация об ответственности за повторное совершение правонарушений и антиобщественное поведение.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1.10.2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информационных материалов по профилактике «пьяной» </w:t>
            </w:r>
            <w:r>
              <w:rPr>
                <w:rFonts w:eastAsia="Calibri"/>
                <w:color w:val="000000"/>
              </w:rPr>
              <w:t xml:space="preserve">преступности»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 xml:space="preserve">2</w:t>
            </w: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t xml:space="preserve">.11.202</w:t>
            </w:r>
            <w:r>
              <w:rPr>
                <w:color w:val="000000"/>
              </w:rPr>
              <w:t xml:space="preserve">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Профилактика уличной преступности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1.11.1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мероприятий, направленных на правовое воспитание населения и разъяснение ответственности за противоправное поведение на улицах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1.11.2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информационных материалов по профилактике уличной преступности»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28.11.2025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Подпрограмма «Гражданская оборона и защита населения и территории от чрезвычайных ситуаций» муниципальной программы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1 239,80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1 239,80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2.1.1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Расходы на обеспечение деятельности (оказания услуг) муниципальных учреждений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30.12.2025/31.03.2025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1 239,80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Осуществлено финансирование деятельности МКУ «ЕДДС» Нефтекумского муниципального округа Ставропольского края.</w:t>
            </w:r>
            <w:r/>
          </w:p>
          <w:p>
            <w:pPr>
              <w:jc w:val="center"/>
            </w:pPr>
            <w:r>
              <w:t xml:space="preserve">За 1 квартал 2025 года принято и обработано 4990 сообщений.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Предупреждение и ликвидации чрезвычайных ситуаций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Обеспечение системами оповещения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2.2.2.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  <w:color w:val="000000"/>
              </w:rPr>
              <w:t xml:space="preserve">Создание и содержание минерализованных полос вокруг населенных пунктов и по территории земель, граничащих с государственным лесным фондом «Левокумское лесничество»</w:t>
            </w:r>
            <w:r>
              <w:rPr>
                <w:rFonts w:eastAsia="Calibri"/>
                <w:lang w:eastAsia="en-US"/>
              </w:rPr>
              <w:t xml:space="preserve"> </w:t>
            </w:r>
            <w:r/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Приобретение и з</w:t>
            </w:r>
            <w:r>
              <w:rPr>
                <w:rFonts w:eastAsia="Calibri"/>
                <w:color w:val="000000"/>
              </w:rPr>
              <w:t xml:space="preserve">амена пожарных гидрантов на сетях водоснабжения, восстановление работоспособности пожарных гидрантов, установка и обновление указателей пожарных гидрантов, восстановление работоспособности средств наружного пожаротушения, оборудование мест забора воды для </w:t>
            </w:r>
            <w:r>
              <w:rPr>
                <w:rFonts w:eastAsia="Calibri"/>
                <w:color w:val="000000"/>
              </w:rPr>
              <w:t xml:space="preserve">целей пожаротушения из естественных или искусственных водоисточников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2.2.4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памяток, листовок по противопожарной тематике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30.05.2025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t xml:space="preserve">Проводится электронный аукцион на изготовление листовок по </w:t>
            </w:r>
            <w:r>
              <w:rPr>
                <w:rFonts w:eastAsia="Calibri"/>
                <w:color w:val="000000"/>
              </w:rPr>
              <w:t xml:space="preserve">правилам безопасного поведения на воде. </w:t>
            </w:r>
            <w:r>
              <w:rPr>
                <w:rFonts w:eastAsia="Calibri"/>
                <w:color w:val="000000"/>
              </w:rPr>
            </w:r>
          </w:p>
          <w:p>
            <w:pPr>
              <w:jc w:val="center"/>
            </w:pPr>
            <w:r>
              <w:rPr>
                <w:rFonts w:eastAsia="Calibri"/>
                <w:color w:val="000000"/>
              </w:rPr>
              <w:t xml:space="preserve">Заключение и исполнение контракта будет произведено во 2 квартале 2025 года.</w:t>
            </w:r>
            <w:r/>
          </w:p>
        </w:tc>
      </w:tr>
      <w:tr>
        <w:tblPrEx/>
        <w:trPr>
          <w:trHeight w:val="113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установка </w:t>
            </w:r>
            <w:r>
              <w:rPr>
                <w:rFonts w:eastAsia="Calibri"/>
                <w:bCs/>
              </w:rPr>
              <w:t xml:space="preserve">информационных знаков безопасности (аншлагов) о запрете купания, о запрете перехода (переезда) по льду на водных объектах, нанесение предупреждающих надписей о запрете купания, перехода (переезда) по льду вблизи водных объектов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22.12.2025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1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2.2.6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памяток, листовок по правилам безопасного поведения на воде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  <w:t xml:space="preserve">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t xml:space="preserve">Проводится электронный аукцион на изготовление листовок по </w:t>
            </w:r>
            <w:r>
              <w:rPr>
                <w:rFonts w:eastAsia="Calibri"/>
                <w:color w:val="000000"/>
              </w:rPr>
              <w:t xml:space="preserve">правилам безопасного поведения на воде. </w:t>
            </w:r>
            <w:r>
              <w:rPr>
                <w:rFonts w:eastAsia="Calibri"/>
                <w:color w:val="000000"/>
              </w:rPr>
            </w:r>
          </w:p>
          <w:p>
            <w:pPr>
              <w:jc w:val="center"/>
            </w:pPr>
            <w:r>
              <w:rPr>
                <w:rFonts w:eastAsia="Calibri"/>
                <w:color w:val="000000"/>
              </w:rPr>
              <w:t xml:space="preserve">Заключение и исполнение контракта будет произведено во 2 квартале 2024 года.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2.2.7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Получение услуг по предоставлению специализированной гидрометеорологической информации о состоянии окружающей среды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Необходимость получения справки в 1 квартале 202</w:t>
            </w:r>
            <w:r>
              <w:t xml:space="preserve">5</w:t>
            </w:r>
            <w:r>
              <w:t xml:space="preserve"> года отсутствовала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2.2.8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Разработка плана действий по предупреждению и ликвидации чрезвычайных ситуаций Нефтекумского муниципального округа Ставропольского края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01.09.2025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Реализация полномочий в области гражданской обороны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2.3.1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Разработка плана гражданской обороны</w:t>
            </w:r>
            <w:r>
              <w:rPr>
                <w:rFonts w:eastAsia="Calibri"/>
                <w:color w:val="000000"/>
              </w:rPr>
            </w:r>
          </w:p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Нефтекумского муниципального округа</w:t>
            </w:r>
            <w:r>
              <w:rPr>
                <w:rFonts w:eastAsia="Calibri"/>
                <w:color w:val="000000"/>
              </w:rPr>
            </w:r>
          </w:p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Ставропольского края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01.12.2025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Подпрограмма «Противодействие злоупотреблению наркотиками и их незаконному обороту»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29,00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3.1. 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Профилактика незаконного потребления и оборота наркотиков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29,00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3.1.1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распространение информационных материалов (листовки, памятки, баннеры) </w:t>
            </w:r>
            <w:r>
              <w:rPr>
                <w:rFonts w:eastAsia="Calibri"/>
                <w:color w:val="000000"/>
              </w:rPr>
              <w:t xml:space="preserve">антинаркотической направленности, размещение в средствах массовой информации публикаций антинаркотической тематики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28.11.2025/30.03.2025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29,00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Заключен муниципальный контракт.</w:t>
            </w:r>
            <w:r/>
          </w:p>
          <w:p>
            <w:pPr>
              <w:jc w:val="center"/>
            </w:pPr>
            <w:r>
              <w:t xml:space="preserve">Изготовлены информационные материалы антинаркотической направленности: 1360 листовок, 1010 буклетов, 20 плакатов.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3.1.2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мероприятий, направленных на пропаганду и формирование здорового образа жизни среди подростков и молодежи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31.10.2025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0,00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3.2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Проведение социально - психологического тестирования с целью раннего выявления незаконного потребления наркотических средств и психотропных веществ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3.2.1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Проведение социально - психологического тестирования среди учащихся образовательных учреждений Нефтекумского муниципального округа Ставропольского края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На территории Нефтекумского муниципального округа Ставропольского края планируется п</w:t>
            </w:r>
            <w:r>
              <w:rPr>
                <w:color w:val="000000"/>
              </w:rPr>
              <w:t xml:space="preserve">роведение социально - психологического тестирования среди учащихся образовательных учреждений Нефтекумского муниципального округа Ставропольского края в 2025/2026 учебном году. 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3.3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Принятие мер по пресечению незаконного оборота наркотических средств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3.3.1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Выявление и уничтожение очагов произрастания дикорастущих наркосодержащих растений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В 1 квартале 2025 года </w:t>
            </w:r>
            <w:r>
              <w:rPr>
                <w:color w:val="000000"/>
              </w:rPr>
              <w:t xml:space="preserve">очагов произрастания дикорастущих наркосодержащих растений в Нефтекумском муниципальном округе Ставропольского края не выявлено.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3.3.2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Выявление в общественных местах и придомовых территориях объявлений (надписей), рекламирующих синтетические наркотики, психоактивные вещества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30.12.2025/30.03.2025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Контрольное событие не наступило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3.3.3</w:t>
            </w:r>
            <w:r>
              <w:rPr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Мониторинг социальных сетей на предмет распространения объявлений о реализации наркотических средств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</w:pPr>
            <w:r>
              <w:t xml:space="preserve">На территории Нефтекумского муниципального округа Ставропольского края в течение года проводится мониторинг </w:t>
            </w:r>
            <w:r>
              <w:rPr>
                <w:color w:val="000000"/>
              </w:rPr>
              <w:t xml:space="preserve">социальных сетей на предмет распространения объявлений о реализации наркотических средств в социальных сетях.  </w:t>
            </w:r>
            <w:r/>
          </w:p>
        </w:tc>
      </w:tr>
      <w:tr>
        <w:tblPrEx/>
        <w:trPr>
          <w:trHeight w:val="6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3.3.4</w:t>
            </w:r>
            <w:r>
              <w:rPr>
                <w:color w:val="000000"/>
              </w:rPr>
            </w:r>
          </w:p>
        </w:tc>
        <w:tc>
          <w:tcPr>
            <w:tcW w:w="577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Участие в оперативно-профилактической операции «Мак», общероссийской акции «Сообщи, где торгуют смертью», Всероссийской межведомственной </w:t>
            </w:r>
            <w:r>
              <w:rPr>
                <w:color w:val="000000"/>
              </w:rPr>
              <w:t xml:space="preserve">комплексной оперативно-профилактической акции-операции «Чистое поколение-2025», Общероссийской акции «Призывник»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30.12.2025</w:t>
            </w:r>
            <w:r>
              <w:rPr>
                <w:color w:val="000000"/>
              </w:rPr>
            </w:r>
          </w:p>
        </w:tc>
        <w:tc>
          <w:tcPr>
            <w:tcW w:w="20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х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</w:tr>
      <w:tr>
        <w:tblPrEx/>
        <w:trPr>
          <w:trHeight w:val="6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ind w:right="259" w:firstLine="425"/>
              <w:jc w:val="both"/>
              <w:rPr>
                <w:sz w:val="28"/>
                <w:szCs w:val="28"/>
              </w:rPr>
            </w:pPr>
            <w:r>
              <w:t xml:space="preserve">В рамках первого этапа межведомственной операт</w:t>
            </w:r>
            <w:r>
              <w:t xml:space="preserve">ивно-профилактической операции «Чистое поколение-2025» (далее-операция) на территории Нефтекумского муниципального округа Ставропольского края (далее-округ) в 2025 году  организовано размещение на официальном сайте администрации Нефтекумского муниципальног</w:t>
            </w:r>
            <w:r>
              <w:t xml:space="preserve">о округа Ставропольского края информации о проведении профилактической операции «Чистое поколение – 2025». В образовательных организациях округа оформлены информационные  стенды с информацией о проведении профилактической операции «Чистое поколение-2025», </w:t>
            </w:r>
            <w:r>
              <w:rPr>
                <w:color w:val="000000"/>
              </w:rPr>
              <w:t xml:space="preserve">организовано проведение профилактических, информа</w:t>
            </w:r>
            <w:r>
              <w:rPr>
                <w:color w:val="000000"/>
              </w:rPr>
              <w:t xml:space="preserve">ционно-просветительских мероприятий, показаны документальные фильмы и видеоролики антинаркотической направленности «Наш выбор – здоровое будущее!», «Воздействие токсических веществ на организм человека»,  «Нет табачному дыму!», «Нет аптечной наркомании!», </w:t>
            </w:r>
            <w:r>
              <w:t xml:space="preserve">организовано распространение </w:t>
            </w:r>
            <w:hyperlink r:id="rId8" w:tooltip="Буклет" w:history="1">
              <w:r>
                <w:t xml:space="preserve">листовок</w:t>
              </w:r>
            </w:hyperlink>
            <w:r>
              <w:t xml:space="preserve"> и буклетов, антинаркотической направленности среди учащихся и родителей «Мы выбираем жизнь! Мы выбираем свет! Мы скажем наркотикам нет!», «Скажи наркотикам нет!». </w:t>
            </w:r>
            <w:r>
              <w:rPr>
                <w:color w:val="000000"/>
              </w:rPr>
              <w:t xml:space="preserve">На страницах в социальных сетях и в сети Интернет организовано размещение тематического материала об информировании несовершеннолетних об осведомленности о последствиях потребления наркотиков и об ответственности за участие в их обороте. </w:t>
            </w:r>
            <w:r>
              <w:rPr>
                <w:sz w:val="28"/>
                <w:szCs w:val="28"/>
              </w:rPr>
            </w:r>
          </w:p>
          <w:p>
            <w:pPr>
              <w:pStyle w:val="693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рамках первого этапа Общероссийской акции «Сообщи, где торгуют смертью» на территории округа в 2025 году проведено более 190 мероприятий, в которых приняли участие более 2500 человек. В период акции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обеспечено информирование населения о проведении акции путем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размещения в средствах массовой информации и информационно-телекоммуникационной сети «Интернет» соответствующих публикаций и материалов антинаркотической направленности. Между ведомствами и субъектами профилактики обеспечен обмен информацией в рамках акции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 среди муниципальных служащих, работников подведомственных организаций, жителей округа обеспечено распространение информации о телеграмм-канале 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me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antinarkotik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sk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) антинаркотической комиссии в Ставропольском крае и работе телефона доверия с возможностью передачи через них анонимных сообщений о фактах незаконного оборота наркотических средств для проведения соответствующих процессуальных проверок.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территории округа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организовано распространение информационных материалов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по профилактике незаконного потребления и оборота наркотиков в количестве 1235 штук, из них листовок- 710 штук, буклетов- 505 штук, плакатов – 20 штук.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несовершеннол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етними и молодежь организовано проведение разъяснительной работы, в целях доведения информации о вреде немедицинского употребления наркотических средств, психотропных веществ, уголовной и административной ответственности за участие в их незаконном обороте.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10" w:right="259" w:firstLine="415"/>
              <w:jc w:val="both"/>
              <w:rPr>
                <w:color w:val="000000"/>
                <w:sz w:val="28"/>
                <w:szCs w:val="28"/>
              </w:rPr>
            </w:pPr>
            <w:r>
              <w:t xml:space="preserve">В мероприятия по профилактике наркомании, в том числе по выявлению и уничтожению надписей, рекламирующих способы приобретения наркотических средств и психотропных веществ в немедицинских целя</w:t>
            </w:r>
            <w:r>
              <w:rPr>
                <w:color w:val="000000"/>
              </w:rPr>
              <w:t xml:space="preserve">х, организовано</w:t>
            </w:r>
            <w:r>
              <w:t xml:space="preserve"> вовлечение обучающихся образовательных организаций, общественных объединений правоохранительной направленности,</w:t>
            </w:r>
            <w:r>
              <w:rPr>
                <w:color w:val="000000"/>
              </w:rPr>
              <w:t xml:space="preserve"> </w:t>
            </w:r>
            <w:r>
              <w:t xml:space="preserve">приняты меры по вовлечению обучающихся образовательных организац</w:t>
            </w:r>
            <w:r>
              <w:t xml:space="preserve">ий, общественных объединений правоохранительной направленности в мероприятия по профилактике наркомании, в том числе по выявлению и уничтожению надписей, рекламирующих способы приобретения наркотических средств и психотропных веществ в немедицинских целях.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426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uiPriority w:val="10"/>
    <w:rPr>
      <w:sz w:val="48"/>
      <w:szCs w:val="48"/>
    </w:rPr>
  </w:style>
  <w:style w:type="character" w:styleId="676" w:customStyle="1">
    <w:name w:val="Subtitle Char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contextualSpacing/>
      <w:ind w:left="720"/>
    </w:pPr>
  </w:style>
  <w:style w:type="paragraph" w:styleId="693">
    <w:name w:val="No Spacing"/>
    <w:link w:val="855"/>
    <w:uiPriority w:val="1"/>
    <w:qFormat/>
    <w:rPr>
      <w:sz w:val="22"/>
      <w:szCs w:val="22"/>
      <w:lang w:eastAsia="en-US"/>
    </w:rPr>
  </w:style>
  <w:style w:type="paragraph" w:styleId="694">
    <w:name w:val="Title"/>
    <w:basedOn w:val="653"/>
    <w:next w:val="65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link w:val="694"/>
    <w:uiPriority w:val="10"/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3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link w:val="702"/>
    <w:uiPriority w:val="99"/>
  </w:style>
  <w:style w:type="paragraph" w:styleId="704">
    <w:name w:val="Footer"/>
    <w:basedOn w:val="653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uiPriority w:val="99"/>
    <w:semiHidden/>
    <w:unhideWhenUsed/>
    <w:rPr>
      <w:color w:val="0000ff"/>
      <w:u w:val="single"/>
    </w:rPr>
  </w:style>
  <w:style w:type="paragraph" w:styleId="835">
    <w:name w:val="footnote text"/>
    <w:basedOn w:val="653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53"/>
    <w:next w:val="653"/>
    <w:uiPriority w:val="99"/>
    <w:unhideWhenUsed/>
  </w:style>
  <w:style w:type="paragraph" w:styleId="852" w:customStyle="1">
    <w:name w:val="ConsPlusNormal"/>
    <w:rPr>
      <w:rFonts w:ascii="Arial" w:hAnsi="Arial" w:eastAsia="Times New Roman" w:cs="Arial"/>
    </w:rPr>
  </w:style>
  <w:style w:type="paragraph" w:styleId="853" w:customStyle="1">
    <w:name w:val="Без интервала1"/>
    <w:rPr>
      <w:sz w:val="22"/>
      <w:szCs w:val="22"/>
    </w:rPr>
  </w:style>
  <w:style w:type="paragraph" w:styleId="854" w:customStyle="1">
    <w:name w:val="Без интервала2"/>
    <w:rPr>
      <w:rFonts w:eastAsia="Times New Roman"/>
      <w:sz w:val="22"/>
      <w:szCs w:val="22"/>
    </w:rPr>
  </w:style>
  <w:style w:type="character" w:styleId="855" w:customStyle="1">
    <w:name w:val="Без интервала Знак"/>
    <w:link w:val="693"/>
    <w:uiPriority w:val="1"/>
    <w:rPr>
      <w:sz w:val="22"/>
      <w:szCs w:val="22"/>
      <w:lang w:val="ru-RU" w:eastAsia="en-US" w:bidi="ar-SA"/>
    </w:rPr>
  </w:style>
  <w:style w:type="paragraph" w:styleId="856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857" w:customStyle="1">
    <w:name w:val="Основной текст (2)"/>
    <w:qFormat/>
    <w:rPr>
      <w:rFonts w:ascii="Times New Roman" w:hAnsi="Times New Roman" w:eastAsia="Times New Roman" w:cs="Times New Roman"/>
      <w:color w:val="000000"/>
      <w:spacing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andia.ru/text/category/bukle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Kazimagomedov</dc:creator>
  <cp:lastModifiedBy>lisyuchenko</cp:lastModifiedBy>
  <cp:revision>121</cp:revision>
  <dcterms:created xsi:type="dcterms:W3CDTF">2020-05-14T11:23:00Z</dcterms:created>
  <dcterms:modified xsi:type="dcterms:W3CDTF">2025-05-12T10:35:49Z</dcterms:modified>
  <cp:version>1048576</cp:version>
</cp:coreProperties>
</file>