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Таблица 6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1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Мониторинг реализации муниципальной программы Нефтекумского </w:t>
      </w:r>
      <w:r>
        <w:rPr>
          <w:color w:val="000000"/>
          <w:sz w:val="26"/>
          <w:szCs w:val="26"/>
        </w:rPr>
        <w:t xml:space="preserve">муниципального</w:t>
      </w:r>
      <w:r>
        <w:rPr>
          <w:color w:val="000000"/>
          <w:sz w:val="26"/>
          <w:szCs w:val="26"/>
        </w:rPr>
        <w:t xml:space="preserve"> округа </w:t>
      </w:r>
      <w:r>
        <w:rPr>
          <w:color w:val="000000"/>
          <w:sz w:val="26"/>
          <w:szCs w:val="26"/>
        </w:rPr>
        <w:t xml:space="preserve">Ставропольского края (квартальная)</w:t>
      </w:r>
      <w:r>
        <w:rPr>
          <w:color w:val="000000"/>
          <w:sz w:val="26"/>
          <w:szCs w:val="26"/>
        </w:rPr>
      </w:r>
    </w:p>
    <w:p>
      <w:pPr>
        <w:pStyle w:val="620"/>
        <w:jc w:val="center"/>
        <w:rPr>
          <w:rFonts w:ascii="Times New Roman" w:hAnsi="Times New Roman" w:cs="Times New Roman"/>
          <w:color w:val="000000"/>
          <w:sz w:val="26"/>
          <w:szCs w:val="26"/>
          <w:highlight w:val="green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green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green"/>
        </w:rPr>
      </w:r>
    </w:p>
    <w:p>
      <w:pPr>
        <w:pStyle w:val="6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Наименование Программы: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Нефтекумского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округа Ставропольского края «Развитие градостроительства, транспортной системы и обеспечение безопасности дорожного движения», утверждённ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 администрации Нефтекумского муниципального округа  Ставропольского края  от 27 декабря 2023 года № 2076.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отчетный период: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исполнитель: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Отдел строительства, архитектуры и транспорта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Нефтекумского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Ставропольского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6"/>
        <w:gridCol w:w="5631"/>
        <w:gridCol w:w="2407"/>
        <w:gridCol w:w="2125"/>
        <w:gridCol w:w="1982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основного мероприятия подпрограммы, мероприятия подпрограммы, контрольного события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3"/>
            <w:tcW w:w="6230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Исполнение за счет всех источников финансового обеспечения Программы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HYPERLINK \l "P1605"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&lt;10&gt;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тыс. 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 из краевого бюджета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источники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альная программа Нефтекумского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Ставропольского края «Развитие градостроительства, транспортной системы и обеспечение безопасности дорожного движения»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3 040,33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/>
        </w:trPr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1 «Дорожное хозяйство и транспортная система»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2 970,73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8"/>
        </w:trPr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Капитальный ремонт и ремонт автомобильных дорог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600,53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1.1.1.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ямочному ремонту асфальтобетонного покрытия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30.10.202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 </w:t>
            </w:r>
            <w:r>
              <w:rPr>
                <w:color w:val="000000"/>
                <w:sz w:val="26"/>
                <w:szCs w:val="26"/>
              </w:rPr>
              <w:t xml:space="preserve">/ </w:t>
            </w: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</w:t>
            </w:r>
            <w:r>
              <w:rPr>
                <w:color w:val="000000"/>
                <w:sz w:val="26"/>
                <w:szCs w:val="26"/>
              </w:rPr>
              <w:t xml:space="preserve"> марта 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года заключен муниципальный контракт на </w:t>
            </w:r>
            <w:r>
              <w:rPr>
                <w:color w:val="000000"/>
                <w:sz w:val="26"/>
                <w:szCs w:val="26"/>
              </w:rPr>
              <w:t xml:space="preserve">выполнение работ по ямочному ремонту асфальтобетонного покрытия автомобильных дорог общего пользования местного значения Нефтекумского муниципального округа Ставропольского края. Срок выполнения работ муниципальным контрактом установлен до 01 мая 2024 года</w:t>
            </w:r>
            <w:r>
              <w:rPr>
                <w:color w:val="000000"/>
                <w:sz w:val="26"/>
                <w:szCs w:val="26"/>
              </w:rPr>
              <w:t xml:space="preserve"> (1 отчетный период)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1.1.2.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ремонту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</w:t>
            </w: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  <w:t xml:space="preserve">.10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"/>
        </w:trPr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Заключены муниципальные контракты на выполнение работ по </w:t>
            </w:r>
            <w:r>
              <w:rPr>
                <w:color w:val="000000"/>
                <w:sz w:val="26"/>
                <w:szCs w:val="26"/>
              </w:rPr>
              <w:t xml:space="preserve">ремонту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1.1.3.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Оказание услуг по осуществлению строительного контроля при выполнении работ по ремонту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</w:t>
            </w:r>
            <w:r>
              <w:rPr>
                <w:color w:val="000000"/>
                <w:sz w:val="26"/>
                <w:szCs w:val="26"/>
              </w:rPr>
              <w:t xml:space="preserve">.11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Заключены муниципальные контракты на оказание услуг </w:t>
            </w:r>
            <w:r>
              <w:rPr>
                <w:color w:val="000000"/>
                <w:sz w:val="26"/>
                <w:szCs w:val="26"/>
              </w:rPr>
              <w:t xml:space="preserve">по осуществлению строительного контроля при выполнении работ по ремонту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1.1.4.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Оказание услуг по изготовлению локальных сметных расчетов, сводных сметных расчетов и ведомостей объемов работ на ремонт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10.11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31.03.2025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600,53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Оказаны услуги по разработке сметной документации на ремонт автомобильных дорог общего пользования местного значения Нефтекумского муниципально</w:t>
            </w:r>
            <w:r>
              <w:rPr>
                <w:color w:val="000000"/>
                <w:sz w:val="26"/>
                <w:szCs w:val="26"/>
              </w:rPr>
              <w:t xml:space="preserve">го округа Ставропольского края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/>
        </w:trPr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Содержание автомобильных дорог и технических средств организации дорожного движения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2 260,40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обновлению г</w:t>
            </w:r>
            <w:r>
              <w:rPr>
                <w:color w:val="000000"/>
                <w:sz w:val="26"/>
                <w:szCs w:val="26"/>
              </w:rPr>
              <w:t xml:space="preserve">оризонтальной дорожной разметки на автомобильных дорогах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</w:t>
            </w: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  <w:t xml:space="preserve">09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 </w:t>
            </w:r>
            <w:r>
              <w:rPr>
                <w:color w:val="000000"/>
                <w:sz w:val="26"/>
                <w:szCs w:val="26"/>
              </w:rPr>
              <w:t xml:space="preserve">/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"/>
        </w:trPr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Проведены закупочные процедуры на в</w:t>
            </w:r>
            <w:r>
              <w:rPr>
                <w:color w:val="000000"/>
                <w:sz w:val="26"/>
                <w:szCs w:val="26"/>
              </w:rPr>
              <w:t xml:space="preserve">ыполнение работ по нанесению горизонтальной дорожной разметки на автомобильных дорогах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обслуживанию светофорных объектов на автомобильных дорогах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  <w:t xml:space="preserve">12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- 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Заключен муниципальный контракт на выполнение работ по обслуживанию светофорных объектов.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</w:t>
            </w:r>
            <w:r>
              <w:rPr>
                <w:color w:val="000000"/>
                <w:sz w:val="26"/>
                <w:szCs w:val="26"/>
              </w:rPr>
              <w:t xml:space="preserve">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восстановлению профиля гравийного покрытия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</w:t>
            </w:r>
            <w:r>
              <w:rPr>
                <w:color w:val="000000"/>
                <w:sz w:val="26"/>
                <w:szCs w:val="26"/>
              </w:rPr>
              <w:t xml:space="preserve">.11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-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не наступило.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</w:t>
            </w:r>
            <w:r>
              <w:rPr>
                <w:color w:val="000000"/>
                <w:sz w:val="26"/>
                <w:szCs w:val="26"/>
              </w:rPr>
              <w:t xml:space="preserve">4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обустройству пешеходных переходов светофорными объектами на автомобильных дорогах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01.09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не наступило.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Оказание услуг по диагностике, изготовлению проектов организации дорожного движения, технических паспортов на автомобильные дороги общего пользования местного значения 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01.09.202</w:t>
            </w:r>
            <w:r>
              <w:rPr>
                <w:color w:val="000000"/>
                <w:sz w:val="26"/>
                <w:szCs w:val="26"/>
              </w:rPr>
              <w:t xml:space="preserve">5 </w:t>
            </w:r>
            <w:r>
              <w:rPr>
                <w:color w:val="000000"/>
                <w:sz w:val="26"/>
                <w:szCs w:val="26"/>
              </w:rPr>
              <w:t xml:space="preserve">г.</w:t>
            </w:r>
            <w:r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не наступило.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color w:val="000000"/>
                <w:sz w:val="26"/>
                <w:szCs w:val="26"/>
              </w:rPr>
              <w:t xml:space="preserve">1.2.</w:t>
            </w:r>
            <w:r>
              <w:rPr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зимнему содержанию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</w:t>
            </w:r>
            <w:r>
              <w:rPr>
                <w:color w:val="000000"/>
                <w:sz w:val="26"/>
                <w:szCs w:val="26"/>
              </w:rPr>
              <w:t xml:space="preserve">.12.202</w:t>
            </w:r>
            <w:r>
              <w:rPr>
                <w:color w:val="000000"/>
                <w:sz w:val="26"/>
                <w:szCs w:val="26"/>
              </w:rPr>
              <w:t xml:space="preserve">5 </w:t>
            </w:r>
            <w:r>
              <w:rPr>
                <w:color w:val="000000"/>
                <w:sz w:val="26"/>
                <w:szCs w:val="26"/>
              </w:rPr>
              <w:t xml:space="preserve">г.</w:t>
            </w:r>
            <w:r>
              <w:rPr>
                <w:color w:val="000000"/>
                <w:sz w:val="26"/>
                <w:szCs w:val="26"/>
              </w:rPr>
              <w:t xml:space="preserve">/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31.03.2025 г.</w:t>
            </w:r>
            <w:r/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2 260,</w:t>
            </w:r>
            <w:r>
              <w:rPr>
                <w:color w:val="000000"/>
                <w:sz w:val="26"/>
                <w:szCs w:val="26"/>
              </w:rPr>
              <w:t xml:space="preserve">40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Выполнены работы по зимнему содержанию автомобильных дорог общего пользования местного значения Нефтекумского муниципального округа</w:t>
            </w:r>
            <w:r>
              <w:rPr>
                <w:color w:val="000000"/>
                <w:sz w:val="26"/>
                <w:szCs w:val="26"/>
              </w:rPr>
              <w:t xml:space="preserve"> Ставропольского края в г. Нефтекумск, п. Затеречный, с. Озек-Суат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1.2.</w:t>
            </w:r>
            <w:r>
              <w:rPr>
                <w:color w:val="000000"/>
                <w:sz w:val="26"/>
                <w:szCs w:val="26"/>
              </w:rPr>
              <w:t xml:space="preserve">7.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Оказание услуг по осуществлению строительного контроля при выполнении работ по содержанию автомобильных дорог общего пользования местного значения Нефтекумского муниципального округа Ставропольского края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30.12.202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Заключены муниципальные контракты на оказание услуг по осуществлению строительного контроля при выполнении работ по содержанию автомобильных дорог.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1.3.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транспортной безопасности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2"/>
        </w:trPr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1.3.1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Оказание услуг по оценке уязвимости объектов транспортной инфраструктуры, разработке паспортов и планов обеспечения транспортной безопасности объектов транспортной инфраструктуры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/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Оценка уязвимости и разработка паспорта обеспечения транспортной безопасности мос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тового сооружения не выполнена в связи с тем, что присвоенная категория не соответствует выполняемым функциям и значению объекта транспортной инфраструктуры.  Для реализации объективных мер, направленных на обеспечение транспортной безопасности, необходимо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изменение присвоенной категории. Разработан технический паспорт объекта для изменения категории, данные направлены в Федеральное дорожное агентство. После изменения категории будут выполнены дальнейшие мероприятия по обеспечению транспортной безопасности.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1.4.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Профилактика детского дорожно-транспортного травматизма.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1.4.1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Приобретение информационно-пропагандистских материалов по профилактике детского дорожно-транспортного травматизма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15.04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-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Контрольное событие не наступило.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/>
        </w:trPr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Организация транспортного обслуживания населения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14,8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3"/>
        </w:trPr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1.5.1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Оказание услуг по изготовлению бланков карт и свидетельств муниципальных маршрутов Нефтекумского муниципального округа Ставропольского края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  <w:t xml:space="preserve">0</w:t>
            </w:r>
            <w:r>
              <w:rPr>
                <w:color w:val="000000"/>
                <w:sz w:val="26"/>
                <w:szCs w:val="26"/>
              </w:rPr>
              <w:t xml:space="preserve">4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>
              <w:rPr>
                <w:color w:val="000000"/>
                <w:sz w:val="26"/>
                <w:szCs w:val="26"/>
              </w:rPr>
              <w:t xml:space="preserve">31.03.2025 г.</w:t>
            </w:r>
            <w:r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14,8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16"/>
              <w:tabs>
                <w:tab w:val="left" w:pos="900" w:leader="none"/>
                <w:tab w:val="center" w:pos="985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/>
        </w:trPr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tabs>
                <w:tab w:val="left" w:pos="900" w:leader="none"/>
                <w:tab w:val="center" w:pos="985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</w:t>
            </w:r>
            <w:r>
              <w:rPr>
                <w:color w:val="000000"/>
                <w:sz w:val="26"/>
                <w:szCs w:val="26"/>
              </w:rPr>
              <w:t xml:space="preserve">казан</w:t>
            </w:r>
            <w:r>
              <w:rPr>
                <w:color w:val="000000"/>
                <w:sz w:val="26"/>
                <w:szCs w:val="26"/>
              </w:rPr>
              <w:t xml:space="preserve">ы</w:t>
            </w:r>
            <w:r>
              <w:rPr>
                <w:color w:val="000000"/>
                <w:sz w:val="26"/>
                <w:szCs w:val="26"/>
              </w:rPr>
              <w:t xml:space="preserve"> услуг</w:t>
            </w:r>
            <w:r>
              <w:rPr>
                <w:color w:val="000000"/>
                <w:sz w:val="26"/>
                <w:szCs w:val="26"/>
              </w:rPr>
              <w:t xml:space="preserve">и</w:t>
            </w:r>
            <w:r>
              <w:rPr>
                <w:color w:val="000000"/>
                <w:sz w:val="26"/>
                <w:szCs w:val="26"/>
              </w:rPr>
              <w:t xml:space="preserve"> по оценке арендных платежей за использование автотранспортных средств, осуществляющих пассажирские перевозки по муниципальным маршрутам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1.5.2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Предоставление субсидии на компенсацию части выпадающих доходов автотранспортным организациям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</w:t>
            </w:r>
            <w:r>
              <w:rPr>
                <w:color w:val="000000"/>
                <w:sz w:val="26"/>
                <w:szCs w:val="26"/>
              </w:rPr>
              <w:t xml:space="preserve">.12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Заключен муниципальный контракт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Нефтекумского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Ставропольского края.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Предоставление субсидии  - ежеквартально. Отчетный период не наступил.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1.6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Строительство (реконструкция),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капитальный ремонт автомобильных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дорог и искусственных дорожных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сооружений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95,00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1.6.1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Выполнение проектных и изыскательских работ по разработке проектной и рабочей документации по реконструкции автомобильных дорог общего пользования местного значения Нефтекумского муниципального округа Ставропольского края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10.11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>
              <w:rPr>
                <w:color w:val="000000"/>
                <w:sz w:val="26"/>
                <w:szCs w:val="26"/>
              </w:rPr>
              <w:t xml:space="preserve">31.03.2025 г.</w:t>
            </w:r>
            <w:r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95,00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казан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расчету стоимости проектных работ объекта проектирования «Реконструкция автомобильной дороги общего пользования местного значения «Подъезд к а. Бияш от автомобильной дороги «Будённовск-Ачикулак» Нефтекумского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1.7.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Капитальный ремонт и ремонт дворовых территорий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1.7.1.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Выполнение работ по ремонту дворовых территорий многоквартирных домов, проездов к дворовым территориям многоквартирных домов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30.</w:t>
            </w:r>
            <w:r>
              <w:rPr>
                <w:color w:val="000000"/>
                <w:sz w:val="26"/>
                <w:szCs w:val="26"/>
              </w:rPr>
              <w:t xml:space="preserve">10</w:t>
            </w:r>
            <w:r>
              <w:rPr>
                <w:color w:val="000000"/>
                <w:sz w:val="26"/>
                <w:szCs w:val="26"/>
              </w:rPr>
              <w:t xml:space="preserve">.2025 г. / -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Организованы закупочные процедуры по определению подрядчика на выполнение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 по ямочному ремонту асфальтобетонного покрытия проездов к дворовым территориям многоквартирных домов г. Нефтекумск Нефтекумского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Подпрограмма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2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«Развитие градостроительства»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69,6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.1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полномочий и функций в области градостроительной деятельности, всего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69,6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2.1.1.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полномочий и функций в области градостроительной деятельности </w:t>
            </w:r>
            <w:r>
              <w:rPr>
                <w:color w:val="000000"/>
                <w:sz w:val="26"/>
                <w:szCs w:val="26"/>
              </w:rPr>
              <w:t xml:space="preserve">Ставропольского края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</w:t>
            </w:r>
            <w:r>
              <w:rPr>
                <w:color w:val="000000"/>
                <w:sz w:val="26"/>
                <w:szCs w:val="26"/>
              </w:rPr>
              <w:t xml:space="preserve">.1</w:t>
            </w: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31.03.2025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69,6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.2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Ведение информационной системы обеспечения градостроительной деятельности 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1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2.2.1.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5631" w:type="dxa"/>
            <w:vAlign w:val="top"/>
            <w:textDirection w:val="lrTb"/>
            <w:noWrap w:val="false"/>
          </w:tcPr>
          <w:p>
            <w:pPr>
              <w:pStyle w:val="616"/>
              <w:rPr>
                <w:rFonts w:eastAsia="Calibri"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Осуществлени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е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градостроительной деятельности на территории Нефтекумского муниципального округа Ставропольского края и 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  <w:r>
              <w:rPr>
                <w:rFonts w:eastAsia="Calibri"/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30.12.2025 г./ 31.03.2025 г.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98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5134" w:type="dxa"/>
            <w:vAlign w:val="top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градостроительная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территории Нефтекумского муниципального округа Ставропольского края.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6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footnotePr/>
      <w:endnotePr/>
      <w:type w:val="nextPage"/>
      <w:pgSz w:w="16838" w:h="11906" w:orient="landscape"/>
      <w:pgMar w:top="993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ConsPlusNormal"/>
    <w:next w:val="620"/>
    <w:link w:val="616"/>
    <w:rPr>
      <w:rFonts w:ascii="Arial" w:hAnsi="Arial" w:eastAsia="Times New Roman" w:cs="Arial"/>
      <w:lang w:val="ru-RU" w:eastAsia="ru-RU" w:bidi="ar-SA"/>
    </w:rPr>
  </w:style>
  <w:style w:type="character" w:styleId="621">
    <w:name w:val="Знак примечания"/>
    <w:next w:val="621"/>
    <w:link w:val="616"/>
    <w:uiPriority w:val="99"/>
    <w:semiHidden/>
    <w:unhideWhenUsed/>
    <w:rPr>
      <w:sz w:val="16"/>
      <w:szCs w:val="16"/>
    </w:rPr>
  </w:style>
  <w:style w:type="paragraph" w:styleId="622">
    <w:name w:val="Текст примечания"/>
    <w:basedOn w:val="616"/>
    <w:next w:val="622"/>
    <w:link w:val="623"/>
    <w:uiPriority w:val="99"/>
    <w:semiHidden/>
    <w:unhideWhenUsed/>
    <w:rPr>
      <w:sz w:val="20"/>
      <w:szCs w:val="20"/>
      <w:lang w:val="en-US" w:eastAsia="en-US"/>
    </w:rPr>
  </w:style>
  <w:style w:type="character" w:styleId="623">
    <w:name w:val="Текст примечания Знак"/>
    <w:next w:val="623"/>
    <w:link w:val="622"/>
    <w:uiPriority w:val="99"/>
    <w:semiHidden/>
    <w:rPr>
      <w:rFonts w:ascii="Times New Roman" w:hAnsi="Times New Roman" w:eastAsia="Times New Roman"/>
    </w:rPr>
  </w:style>
  <w:style w:type="paragraph" w:styleId="624">
    <w:name w:val="Тема примечания"/>
    <w:basedOn w:val="622"/>
    <w:next w:val="622"/>
    <w:link w:val="625"/>
    <w:uiPriority w:val="99"/>
    <w:semiHidden/>
    <w:unhideWhenUsed/>
    <w:rPr>
      <w:b/>
      <w:bCs/>
    </w:rPr>
  </w:style>
  <w:style w:type="character" w:styleId="625">
    <w:name w:val="Тема примечания Знак"/>
    <w:next w:val="625"/>
    <w:link w:val="624"/>
    <w:uiPriority w:val="99"/>
    <w:semiHidden/>
    <w:rPr>
      <w:rFonts w:ascii="Times New Roman" w:hAnsi="Times New Roman" w:eastAsia="Times New Roman"/>
      <w:b/>
      <w:bCs/>
    </w:rPr>
  </w:style>
  <w:style w:type="paragraph" w:styleId="626">
    <w:name w:val="Текст выноски"/>
    <w:basedOn w:val="616"/>
    <w:next w:val="626"/>
    <w:link w:val="627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7">
    <w:name w:val="Текст выноски Знак"/>
    <w:next w:val="627"/>
    <w:link w:val="626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3315" w:default="1">
    <w:name w:val="Default Paragraph Font"/>
    <w:uiPriority w:val="1"/>
    <w:semiHidden/>
    <w:unhideWhenUsed/>
  </w:style>
  <w:style w:type="numbering" w:styleId="3316" w:default="1">
    <w:name w:val="No List"/>
    <w:uiPriority w:val="99"/>
    <w:semiHidden/>
    <w:unhideWhenUsed/>
  </w:style>
  <w:style w:type="table" w:styleId="33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lisyuchenko</cp:lastModifiedBy>
  <cp:revision>3</cp:revision>
  <dcterms:created xsi:type="dcterms:W3CDTF">2025-04-23T17:42:00Z</dcterms:created>
  <dcterms:modified xsi:type="dcterms:W3CDTF">2025-04-28T06:44:38Z</dcterms:modified>
  <cp:version>917504</cp:version>
</cp:coreProperties>
</file>