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F6" w:rsidRPr="006473F6" w:rsidRDefault="006473F6" w:rsidP="006473F6">
      <w:pPr>
        <w:shd w:val="clear" w:color="auto" w:fill="FFFFFF"/>
        <w:spacing w:line="330" w:lineRule="atLeast"/>
        <w:outlineLvl w:val="1"/>
        <w:rPr>
          <w:rFonts w:ascii="Roboto" w:eastAsia="Times New Roman" w:hAnsi="Roboto" w:cs="Times New Roman"/>
          <w:b/>
          <w:bCs/>
          <w:color w:val="666666"/>
          <w:sz w:val="30"/>
          <w:szCs w:val="30"/>
          <w:lang w:eastAsia="ru-RU"/>
        </w:rPr>
      </w:pPr>
      <w:r w:rsidRPr="006473F6">
        <w:rPr>
          <w:rFonts w:ascii="Roboto" w:eastAsia="Times New Roman" w:hAnsi="Roboto" w:cs="Times New Roman"/>
          <w:b/>
          <w:bCs/>
          <w:color w:val="666666"/>
          <w:sz w:val="30"/>
          <w:szCs w:val="30"/>
          <w:lang w:eastAsia="ru-RU"/>
        </w:rPr>
        <w:t>Письмо Минтруда России № 18-2/10/В-2575 от 11 апреля 2018 г.</w:t>
      </w:r>
    </w:p>
    <w:p w:rsidR="006473F6" w:rsidRPr="006473F6" w:rsidRDefault="006473F6" w:rsidP="006473F6">
      <w:pPr>
        <w:shd w:val="clear" w:color="auto" w:fill="FFFFFF"/>
        <w:spacing w:after="180" w:line="370" w:lineRule="atLeast"/>
        <w:jc w:val="center"/>
        <w:outlineLvl w:val="1"/>
        <w:rPr>
          <w:rFonts w:ascii="Roboto" w:eastAsia="Times New Roman" w:hAnsi="Roboto" w:cs="Times New Roman"/>
          <w:b/>
          <w:bCs/>
          <w:color w:val="666666"/>
          <w:sz w:val="34"/>
          <w:szCs w:val="34"/>
          <w:lang w:eastAsia="ru-RU"/>
        </w:rPr>
      </w:pPr>
      <w:bookmarkStart w:id="0" w:name="_GoBack"/>
      <w:bookmarkEnd w:id="0"/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Федеральные государственные органы</w:t>
      </w:r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br/>
        <w:t>Высшие органы исполнительной власти субъектов Российской Федерации</w:t>
      </w:r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br/>
        <w:t>Организации</w:t>
      </w:r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br/>
        <w:t>Центральный банк Российской Федерации</w:t>
      </w:r>
    </w:p>
    <w:p w:rsidR="006473F6" w:rsidRPr="006473F6" w:rsidRDefault="006473F6" w:rsidP="006473F6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сообщает следующее.</w:t>
      </w:r>
    </w:p>
    <w:p w:rsidR="006473F6" w:rsidRPr="006473F6" w:rsidRDefault="006473F6" w:rsidP="006473F6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Антикоррупционным законодательством Российской Федерации для отдельных категорий лиц установлены запреты:</w:t>
      </w:r>
    </w:p>
    <w:p w:rsidR="006473F6" w:rsidRPr="006473F6" w:rsidRDefault="006473F6" w:rsidP="00647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приобретать ценные бумаги в случае, если владение такими ценными бумагами приводит или может привести к конфликту интересов;</w:t>
      </w:r>
    </w:p>
    <w:p w:rsidR="006473F6" w:rsidRPr="006473F6" w:rsidRDefault="006473F6" w:rsidP="00647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прямо и косвенно владеть и (или) пользоваться иностранными финансовыми инструментами.</w:t>
      </w:r>
    </w:p>
    <w:p w:rsidR="006473F6" w:rsidRPr="006473F6" w:rsidRDefault="006473F6" w:rsidP="006473F6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В целях исключения нарушения указанных запретов при открытии таким лицам индивидуального инвестиционного счета необходимо учитывать следующее.</w:t>
      </w:r>
    </w:p>
    <w:p w:rsidR="006473F6" w:rsidRPr="006473F6" w:rsidRDefault="006473F6" w:rsidP="006473F6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proofErr w:type="gramStart"/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В соответствии с абзацем первым пункта 1 статьи 10.2-1 Федерального закона от 22 апреля 1996 г. № 39-ФЗ «О рынке ценных бумаг» (далее – Федеральный закон № 39-ФЗ) индивидуальный инвестиционный счет – счет внутреннего учета, который предназначен для обособленного учета денежных средств, ценных бумаг клиента – физического лица, обязательств по договорам, заключенным за счет указанного клиента, и который открывается и ведется в соответствии со</w:t>
      </w:r>
      <w:proofErr w:type="gramEnd"/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 xml:space="preserve"> статьей 10.2-1 Федерального закона № 39-ФЗ.</w:t>
      </w:r>
    </w:p>
    <w:p w:rsidR="006473F6" w:rsidRPr="006473F6" w:rsidRDefault="006473F6" w:rsidP="006473F6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Согласно абзацу второму пункта 1 статьи 10.2-1 Федерального закона № 39-ФЗ индивидуальный инвестиционный счет открывается и ведется брокером или управляющим на основании отдельного договора на брокерское обслуживание или договора доверительного управления ценными бумагами, которые предусматривают открытие и ведение индивидуального инвестиционного счета (далее также – договор на ведение индивидуального инвестиционного счета).</w:t>
      </w:r>
    </w:p>
    <w:p w:rsidR="006473F6" w:rsidRPr="006473F6" w:rsidRDefault="006473F6" w:rsidP="006473F6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Пунктом 8 статьи 10.2-1 Федерального закона № 39-ФЗ предусмотрено, что по договору на ведение индивидуального инвестиционного счета допускается передача клиентом профессиональному участнику рынка ценных бумаг только денежных средств, за исключением случая прекращения одного договора на ведение индивидуального инвестиционного  и заключения нового договора (пункт 4 статьи 10.2-1 Федерального закона № 39-ФЗ).</w:t>
      </w:r>
    </w:p>
    <w:p w:rsidR="006473F6" w:rsidRPr="006473F6" w:rsidRDefault="006473F6" w:rsidP="006473F6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Договор на ведение индивидуального инвестиционного счета предусматривает, что приобретаемые ценные бумаги становятся собственностью клиента.</w:t>
      </w:r>
    </w:p>
    <w:p w:rsidR="006473F6" w:rsidRPr="006473F6" w:rsidRDefault="006473F6" w:rsidP="006473F6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Одновременно стоит учитывать, что абзац второй пункта 9 статьи 10.2-1 Федерального закона № 39-ФЗ допускает возможность приобретения на организованных торгах российского организатора торговли ценных бумаг иностранных эмитентов за счет имущества, учитываемого на индивидуальном инвестиционном счете.</w:t>
      </w:r>
    </w:p>
    <w:p w:rsidR="006473F6" w:rsidRPr="006473F6" w:rsidRDefault="006473F6" w:rsidP="006473F6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В этой связи лицам, на которых антикоррупционным законодательством Российской Федерации распространяются вышеуказанные запреты, при заключении договоров на ведение индивидуального инвестиционного счета необходимо исключить приобретение профессиональным участником рынка ценных бумаг в интересах таких лиц ценных бумаг:</w:t>
      </w:r>
    </w:p>
    <w:p w:rsidR="006473F6" w:rsidRPr="006473F6" w:rsidRDefault="006473F6" w:rsidP="006473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proofErr w:type="gramStart"/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владение</w:t>
      </w:r>
      <w:proofErr w:type="gramEnd"/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 xml:space="preserve"> которыми приводит или может привести к конфликту интересов;</w:t>
      </w:r>
    </w:p>
    <w:p w:rsidR="006473F6" w:rsidRPr="006473F6" w:rsidRDefault="006473F6" w:rsidP="006473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proofErr w:type="gramStart"/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являющихся</w:t>
      </w:r>
      <w:proofErr w:type="gramEnd"/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 xml:space="preserve"> иностранными финансовыми инструментами.</w:t>
      </w:r>
    </w:p>
    <w:p w:rsidR="006473F6" w:rsidRPr="006473F6" w:rsidRDefault="006473F6" w:rsidP="006473F6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proofErr w:type="gramStart"/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lastRenderedPageBreak/>
        <w:t>Дополнительно отмечаем, что в случае представления сведений о доходах, расходах, об имуществе и обязательствах имущественного характера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справка), сведения об открытом индивидуальном инвестиционном счете</w:t>
      </w:r>
      <w:proofErr w:type="gramEnd"/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 xml:space="preserve"> указываются в разделе 4 справки.</w:t>
      </w:r>
    </w:p>
    <w:p w:rsidR="006473F6" w:rsidRPr="006473F6" w:rsidRDefault="006473F6" w:rsidP="006473F6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Также в разделе 5 справки подлежат отражению сведения об имеющихся на отчетную дату ценных бумагах.</w:t>
      </w:r>
    </w:p>
    <w:p w:rsidR="006473F6" w:rsidRPr="006473F6" w:rsidRDefault="006473F6" w:rsidP="006473F6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Одновременно указываем, что предусмотренные подпунктами 2 и 3 пункта 1 статьи 219.1 Налогового кодекса Российской Федерации инвестиционные налоговые вычеты не подлежат отражению в разделе 1 справки.</w:t>
      </w:r>
    </w:p>
    <w:p w:rsidR="006473F6" w:rsidRPr="006473F6" w:rsidRDefault="006473F6" w:rsidP="006473F6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6473F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Просим довести указанную информацию до сведения заинтересованных лиц и учитывать при применении законодательства о противодействии коррупции. 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0D0"/>
    <w:multiLevelType w:val="multilevel"/>
    <w:tmpl w:val="5F2A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D3B0E"/>
    <w:multiLevelType w:val="multilevel"/>
    <w:tmpl w:val="6B96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8F01DB"/>
    <w:multiLevelType w:val="multilevel"/>
    <w:tmpl w:val="B3D6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C3"/>
    <w:rsid w:val="00045CEF"/>
    <w:rsid w:val="00234A23"/>
    <w:rsid w:val="00530FC3"/>
    <w:rsid w:val="006473F6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7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73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7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73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7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Company>diakov.net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2023-12-19T08:55:00Z</dcterms:created>
  <dcterms:modified xsi:type="dcterms:W3CDTF">2023-12-19T08:55:00Z</dcterms:modified>
</cp:coreProperties>
</file>