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дключись к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сервису «Наличные на кассе»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!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Уважаемые руководители предприятий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индивидуальные предприниматели сферы торговли!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Банк России на постоянной основе проводит работу, направленную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повышение финансовой доступности в сельской местности, на отдельных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малонаселенных и труднодоступных территориях.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дополнение к стандартным банковским офисам, банкоматам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дистанционному банковскому обслуживанию Банк России развивает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альтернативные облегченные форматы оказания финансовых услуг, которые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могут использоваться даже в населенных пунктах численностью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100 человек: банковские окна в почтовых отделениях, мобильные офисы,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также сервис «Наличные на кассе» (далее – сервис), позволяющий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покупателю в небольшом сельском магазине, подключенном к сервису,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одновременно с покупкой снять небольшую сумму наличных денег 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текущие расходы. При этом сумма покупки не влияет на размер снятия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наличных денег, который устанавливается кредитной организацией.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Ставропольском крае в настоящее время количество торгово-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сервисных предприятий (далее – ТСП), предоставляющих сервис составляет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622 торговые точки (предприниматели на общей или упрощенной системе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налогообложения), из которых 162 находятся в сельской местности.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Сумма выданных наличных на кассах за 2024 год составила 862,3 млн руб.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Анализ результатов развития сервиса показывает, что услуга способствует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увеличению потока клиентов в ТСП, снижает расходы на инкассацию,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также удобна для населения. Следует отметить, что банковские учреждения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предлагают для предприятий-партнеров льготные тарифы по договорам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эквайринга, а также вознаграждения за сотрудничество.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2024 году принят Федеральный закон от 24 ноября 2024 г. № 388-ФЗ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 снятии запрета на использование ПСН при оказании услуг банковского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платежного агента (субагента) по принятию от физических лиц наличных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денежных средств и их внесению на банковские счета этих физических лиц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 выдаче физическим лицам наличных денежных средств с их банковских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счетов, оказываемых банковскими платежными агентами (субагентами) этим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физическим лицам при осуществлении ими розничной торговли через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объекты стационарной торговой сети в сельских населенных пунктах,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входящих в состав сельских поселений.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Учитывая социальную значимость данного сервиса просим Вас (в том числе ТСП,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использующие патентную систему налогообложения) рассмотреть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возможность реализации вышеуказанного сервиса (методические материалы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прилагаются) и в случае заинтересованности направить сведения о своем предприятии (н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аименование предприятия (ИП, юр. лица), ИНН, наименование банка, в котором открыт расчетный счет, фактический адрес торговой точки, контактное лицо и его номер телефона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 отдел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экономического развития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Нефтекумского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адрес электронной почты: </w:t>
      </w:r>
      <w:hyperlink r:id="rId10" w:tooltip="mailto:vitchenkov.v@yandex.ru" w:history="1"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v</w:t>
        </w:r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itchenkov.v@yandex.ru</w:t>
        </w:r>
        <w:r>
          <w:rPr>
            <w:rStyle w:val="835"/>
            <w:highlight w:val="none"/>
          </w:rPr>
        </w:r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</w:r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45910" cy="960718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54890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645908" cy="9607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3.30pt;height:756.4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45910" cy="9607182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5275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645908" cy="9607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30pt;height:756.47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Справочная информация по операци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ям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«Наличные на кассе»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Раздел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официальном сайте Банка России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где размещаются информационные письма по финансовой доступности: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</w:r>
      <w:hyperlink r:id="rId13" w:tooltip="http://www.cbr.ru/develop/development_affor/recommend/" w:history="1"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val="en-US" w:eastAsia="ru-RU"/>
          </w:rPr>
          <w:t xml:space="preserve">h</w:t>
        </w:r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ttp://www.cbr.ru/develop/development_affor/recommend/</w:t>
        </w:r>
      </w:hyperlink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Порядок присоединения к оказанию услуги «наличные на кассе»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размещен на официальном сайте Банка России по ссылке: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hyperlink r:id="rId14" w:tooltip="http://www.cbr.ru/develop/development_affor/cash_register/" w:history="1"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http://www.cbr.ru/develop/development_affor/cash_register/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Ссылка на информацию по операции «наличные на кассе»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просветительском портале Центрального банка fincult.info: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hyperlink r:id="rId15" w:tooltip="https://fincult.info/article/kak-mozhno-snyat-dengi-s-karty-na-kasse-v-magazine/" w:history="1">
        <w:r>
          <w:rPr>
            <w:rStyle w:val="83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https://fincult.info/article/kak-mozhno-snyat-dengi-s-karty-na-kasse-v-magazine/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sectPr>
      <w:footnotePr/>
      <w:endnotePr>
        <w:numFmt w:val="decimal"/>
      </w:endnotePr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0"/>
    <w:next w:val="830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1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0"/>
    <w:next w:val="830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1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1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1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1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1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1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0"/>
    <w:next w:val="830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1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0"/>
    <w:next w:val="830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1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0"/>
    <w:next w:val="830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1"/>
    <w:link w:val="679"/>
    <w:uiPriority w:val="10"/>
    <w:rPr>
      <w:sz w:val="48"/>
      <w:szCs w:val="48"/>
    </w:rPr>
  </w:style>
  <w:style w:type="paragraph" w:styleId="681">
    <w:name w:val="Subtitle"/>
    <w:basedOn w:val="830"/>
    <w:next w:val="830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1"/>
    <w:link w:val="681"/>
    <w:uiPriority w:val="11"/>
    <w:rPr>
      <w:sz w:val="24"/>
      <w:szCs w:val="24"/>
    </w:rPr>
  </w:style>
  <w:style w:type="paragraph" w:styleId="683">
    <w:name w:val="Quote"/>
    <w:basedOn w:val="830"/>
    <w:next w:val="830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0"/>
    <w:next w:val="830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1"/>
    <w:link w:val="836"/>
    <w:uiPriority w:val="99"/>
  </w:style>
  <w:style w:type="character" w:styleId="688">
    <w:name w:val="Footer Char"/>
    <w:basedOn w:val="831"/>
    <w:link w:val="838"/>
    <w:uiPriority w:val="99"/>
  </w:style>
  <w:style w:type="paragraph" w:styleId="689">
    <w:name w:val="Caption"/>
    <w:basedOn w:val="830"/>
    <w:next w:val="830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1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Footnote Text Char"/>
    <w:link w:val="844"/>
    <w:uiPriority w:val="99"/>
    <w:rPr>
      <w:sz w:val="18"/>
    </w:rPr>
  </w:style>
  <w:style w:type="character" w:styleId="818">
    <w:name w:val="Endnote Text Char"/>
    <w:link w:val="841"/>
    <w:uiPriority w:val="99"/>
    <w:rPr>
      <w:sz w:val="20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36">
    <w:name w:val="Header"/>
    <w:basedOn w:val="830"/>
    <w:link w:val="83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semiHidden/>
  </w:style>
  <w:style w:type="paragraph" w:styleId="838">
    <w:name w:val="Footer"/>
    <w:basedOn w:val="830"/>
    <w:link w:val="8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semiHidden/>
  </w:style>
  <w:style w:type="character" w:styleId="840">
    <w:name w:val="FollowedHyperlink"/>
    <w:basedOn w:val="831"/>
    <w:uiPriority w:val="99"/>
    <w:semiHidden/>
    <w:unhideWhenUsed/>
    <w:rPr>
      <w:color w:val="800080" w:themeColor="followedHyperlink"/>
      <w:u w:val="single"/>
    </w:rPr>
  </w:style>
  <w:style w:type="paragraph" w:styleId="841">
    <w:name w:val="endnote text"/>
    <w:basedOn w:val="830"/>
    <w:link w:val="84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2" w:customStyle="1">
    <w:name w:val="Текст концевой сноски Знак"/>
    <w:basedOn w:val="831"/>
    <w:link w:val="841"/>
    <w:uiPriority w:val="99"/>
    <w:semiHidden/>
    <w:rPr>
      <w:sz w:val="20"/>
      <w:szCs w:val="20"/>
    </w:rPr>
  </w:style>
  <w:style w:type="character" w:styleId="843">
    <w:name w:val="endnote reference"/>
    <w:basedOn w:val="831"/>
    <w:uiPriority w:val="99"/>
    <w:semiHidden/>
    <w:unhideWhenUsed/>
    <w:rPr>
      <w:vertAlign w:val="superscript"/>
    </w:rPr>
  </w:style>
  <w:style w:type="paragraph" w:styleId="844">
    <w:name w:val="footnote text"/>
    <w:basedOn w:val="830"/>
    <w:link w:val="8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5" w:customStyle="1">
    <w:name w:val="Текст сноски Знак"/>
    <w:basedOn w:val="831"/>
    <w:link w:val="844"/>
    <w:uiPriority w:val="99"/>
    <w:semiHidden/>
    <w:rPr>
      <w:sz w:val="20"/>
      <w:szCs w:val="20"/>
    </w:rPr>
  </w:style>
  <w:style w:type="character" w:styleId="846">
    <w:name w:val="footnote reference"/>
    <w:basedOn w:val="831"/>
    <w:uiPriority w:val="99"/>
    <w:semiHidden/>
    <w:unhideWhenUsed/>
    <w:rPr>
      <w:vertAlign w:val="superscript"/>
    </w:rPr>
  </w:style>
  <w:style w:type="paragraph" w:styleId="847" w:customStyle="1">
    <w:name w:val="Normal (Web)"/>
    <w:basedOn w:val="665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vitchenkov.v@yandex.ru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://www.cbr.ru/develop/development_affor/recommend/" TargetMode="External"/><Relationship Id="rId14" Type="http://schemas.openxmlformats.org/officeDocument/2006/relationships/hyperlink" Target="http://www.cbr.ru/develop/development_affor/cash_register/" TargetMode="External"/><Relationship Id="rId15" Type="http://schemas.openxmlformats.org/officeDocument/2006/relationships/hyperlink" Target="https://fincult.info/article/kak-mozhno-snyat-dengi-s-karty-na-kasse-v-magazin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D594C-6AD8-4694-8F9A-B314B15A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hramchenko</cp:lastModifiedBy>
  <cp:revision>89</cp:revision>
  <dcterms:created xsi:type="dcterms:W3CDTF">2018-01-18T07:55:00Z</dcterms:created>
  <dcterms:modified xsi:type="dcterms:W3CDTF">2025-05-13T08:34:39Z</dcterms:modified>
</cp:coreProperties>
</file>