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C9" w:rsidRDefault="00B95FC9" w:rsidP="00B95FC9">
      <w:pPr>
        <w:rPr>
          <w:b/>
          <w:bCs/>
        </w:rPr>
      </w:pPr>
      <w:bookmarkStart w:id="0" w:name="_GoBack"/>
      <w:bookmarkEnd w:id="0"/>
      <w:r w:rsidRPr="00B95FC9">
        <w:rPr>
          <w:noProof/>
          <w:lang w:eastAsia="ru-RU"/>
        </w:rPr>
        <w:drawing>
          <wp:inline distT="0" distB="0" distL="0" distR="0">
            <wp:extent cx="3686175" cy="1019175"/>
            <wp:effectExtent l="0" t="0" r="9525" b="0"/>
            <wp:docPr id="1" name="Рисунок 1" descr="наименование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наименование-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C9" w:rsidRPr="008478F1" w:rsidRDefault="00792CBB" w:rsidP="00A056C6">
      <w:pPr>
        <w:spacing w:after="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ГУП СК </w:t>
      </w:r>
      <w:r w:rsidR="00B95FC9" w:rsidRPr="00B95FC9">
        <w:rPr>
          <w:b/>
          <w:bCs/>
          <w:sz w:val="28"/>
          <w:szCs w:val="28"/>
        </w:rPr>
        <w:t>«Гарантийный фонд</w:t>
      </w:r>
      <w:r w:rsidR="008478F1">
        <w:rPr>
          <w:b/>
          <w:bCs/>
          <w:sz w:val="28"/>
          <w:szCs w:val="28"/>
        </w:rPr>
        <w:t xml:space="preserve"> Ставропольского края</w:t>
      </w:r>
      <w:r w:rsidR="00B95FC9" w:rsidRPr="00B95FC9">
        <w:rPr>
          <w:b/>
          <w:bCs/>
          <w:sz w:val="28"/>
          <w:szCs w:val="28"/>
        </w:rPr>
        <w:t xml:space="preserve">» создан на основании распоряжения </w:t>
      </w:r>
      <w:r w:rsidR="008478F1">
        <w:rPr>
          <w:b/>
          <w:bCs/>
        </w:rPr>
        <w:t xml:space="preserve"> </w:t>
      </w:r>
      <w:r w:rsidR="00B95FC9" w:rsidRPr="00B95FC9">
        <w:rPr>
          <w:b/>
          <w:bCs/>
          <w:sz w:val="28"/>
          <w:szCs w:val="28"/>
        </w:rPr>
        <w:t>Правительства Ставропольского края № 336-рп от 16.09.2009 г.</w:t>
      </w:r>
    </w:p>
    <w:p w:rsidR="00B95FC9" w:rsidRPr="00B95FC9" w:rsidRDefault="00B95FC9" w:rsidP="00B95FC9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---------------------------------------------------------------------------------------------------------</w:t>
      </w:r>
      <w:r w:rsidR="00A056C6">
        <w:rPr>
          <w:b/>
          <w:bCs/>
          <w:sz w:val="28"/>
          <w:szCs w:val="28"/>
        </w:rPr>
        <w:t>---</w:t>
      </w:r>
      <w:r>
        <w:rPr>
          <w:b/>
          <w:bCs/>
          <w:sz w:val="28"/>
          <w:szCs w:val="28"/>
        </w:rPr>
        <w:t>----</w:t>
      </w:r>
    </w:p>
    <w:p w:rsidR="00064FF4" w:rsidRPr="00973045" w:rsidRDefault="00064FF4" w:rsidP="00B95FC9">
      <w:pPr>
        <w:spacing w:after="0"/>
        <w:rPr>
          <w:sz w:val="16"/>
          <w:szCs w:val="16"/>
        </w:rPr>
      </w:pPr>
    </w:p>
    <w:p w:rsidR="00CE0B12" w:rsidRPr="00A056C6" w:rsidRDefault="00554996" w:rsidP="00B95FC9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A056C6">
        <w:rPr>
          <w:szCs w:val="24"/>
        </w:rPr>
        <w:t>ПРЕДОСТАВЛЯЮТСЯ ПОРУЧИТЕЛЬСТВА ПО КРЕДИТНЫМ ДОГОВОРАМ,  ДОГОВОРАМ ЗАЙМА,  ДОГОВОРАМ ЛИЗИНГА,  ДОГОВОРАМ  О  ПРЕДОСТАВЛЕНИИ БАНКОВСКОЙ  ГАРАНТИИ, ИНЫМ  ДОГОВОРАМ СУБЪЕКТОВ МАЛОГО И СРЕДНЕГО ПРЕДПРИНИМАТЕЛЬСТВА</w:t>
      </w:r>
    </w:p>
    <w:p w:rsidR="0002199D" w:rsidRPr="0002199D" w:rsidRDefault="0002199D" w:rsidP="0002199D">
      <w:pPr>
        <w:spacing w:after="0"/>
        <w:ind w:left="720"/>
        <w:jc w:val="both"/>
        <w:rPr>
          <w:b/>
          <w:szCs w:val="24"/>
        </w:rPr>
      </w:pPr>
    </w:p>
    <w:p w:rsidR="00CE0B12" w:rsidRDefault="00554996" w:rsidP="00B95FC9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02199D">
        <w:rPr>
          <w:szCs w:val="24"/>
        </w:rPr>
        <w:t xml:space="preserve">СУММА ПОРУЧИТЕЛЬСТВА  ДО </w:t>
      </w:r>
      <w:r w:rsidR="0002199D">
        <w:rPr>
          <w:b/>
          <w:bCs/>
          <w:szCs w:val="24"/>
        </w:rPr>
        <w:t xml:space="preserve">50 </w:t>
      </w:r>
      <w:r w:rsidR="00792CBB" w:rsidRPr="00792CBB">
        <w:rPr>
          <w:b/>
          <w:bCs/>
          <w:sz w:val="28"/>
          <w:szCs w:val="28"/>
        </w:rPr>
        <w:t>млн</w:t>
      </w:r>
      <w:r w:rsidR="0002199D" w:rsidRPr="00792CBB">
        <w:rPr>
          <w:b/>
          <w:bCs/>
          <w:sz w:val="28"/>
          <w:szCs w:val="28"/>
        </w:rPr>
        <w:t xml:space="preserve">. </w:t>
      </w:r>
      <w:r w:rsidR="00792CBB" w:rsidRPr="00792CBB">
        <w:rPr>
          <w:b/>
          <w:bCs/>
          <w:sz w:val="28"/>
          <w:szCs w:val="28"/>
        </w:rPr>
        <w:t>руб</w:t>
      </w:r>
      <w:r w:rsidRPr="00792CBB">
        <w:rPr>
          <w:b/>
          <w:bCs/>
          <w:sz w:val="28"/>
          <w:szCs w:val="28"/>
        </w:rPr>
        <w:t>.</w:t>
      </w:r>
      <w:r w:rsidRPr="0002199D">
        <w:rPr>
          <w:szCs w:val="24"/>
        </w:rPr>
        <w:t xml:space="preserve"> (ДЛЯ  ПРЕДПРИЯТИЙ  ПЕРЕРАБАТЫВАЮЩЕЙ,  ПИЩЕВОЙ</w:t>
      </w:r>
      <w:r w:rsidR="0002199D">
        <w:rPr>
          <w:szCs w:val="24"/>
        </w:rPr>
        <w:t xml:space="preserve"> </w:t>
      </w:r>
      <w:r w:rsidRPr="0002199D">
        <w:rPr>
          <w:szCs w:val="24"/>
        </w:rPr>
        <w:t xml:space="preserve"> ПРОМЫШЛЕННОСТИ </w:t>
      </w:r>
      <w:r w:rsidR="0002199D">
        <w:rPr>
          <w:szCs w:val="24"/>
        </w:rPr>
        <w:t xml:space="preserve"> </w:t>
      </w:r>
      <w:r w:rsidRPr="0002199D">
        <w:rPr>
          <w:szCs w:val="24"/>
        </w:rPr>
        <w:t>И</w:t>
      </w:r>
      <w:r w:rsidR="0002199D">
        <w:rPr>
          <w:szCs w:val="24"/>
        </w:rPr>
        <w:t xml:space="preserve"> </w:t>
      </w:r>
      <w:r w:rsidRPr="0002199D">
        <w:rPr>
          <w:szCs w:val="24"/>
        </w:rPr>
        <w:t xml:space="preserve"> ОБРАБАТЫВАЮЩИХ </w:t>
      </w:r>
      <w:r w:rsidR="0002199D">
        <w:rPr>
          <w:szCs w:val="24"/>
        </w:rPr>
        <w:t xml:space="preserve"> </w:t>
      </w:r>
      <w:r w:rsidRPr="0002199D">
        <w:rPr>
          <w:szCs w:val="24"/>
        </w:rPr>
        <w:t>ПРОИЗВОДСТВ</w:t>
      </w:r>
      <w:r w:rsidR="0002199D">
        <w:rPr>
          <w:szCs w:val="24"/>
        </w:rPr>
        <w:t xml:space="preserve">, </w:t>
      </w:r>
      <w:r w:rsidR="00792CBB">
        <w:rPr>
          <w:szCs w:val="24"/>
        </w:rPr>
        <w:t xml:space="preserve"> </w:t>
      </w:r>
      <w:r w:rsidR="0002199D" w:rsidRPr="0002199D">
        <w:rPr>
          <w:szCs w:val="24"/>
        </w:rPr>
        <w:t>СЕЛЬХОЗТОВАРОПРОИЗВОДИТЕЛЕЙ</w:t>
      </w:r>
      <w:r w:rsidR="0002199D">
        <w:rPr>
          <w:szCs w:val="24"/>
        </w:rPr>
        <w:t xml:space="preserve">  </w:t>
      </w:r>
      <w:r w:rsidR="00792CBB">
        <w:rPr>
          <w:szCs w:val="24"/>
        </w:rPr>
        <w:t>ДО</w:t>
      </w:r>
      <w:r w:rsidR="0002199D">
        <w:rPr>
          <w:szCs w:val="24"/>
        </w:rPr>
        <w:t xml:space="preserve">   </w:t>
      </w:r>
      <w:r w:rsidRPr="0002199D">
        <w:rPr>
          <w:b/>
          <w:bCs/>
          <w:szCs w:val="24"/>
        </w:rPr>
        <w:t>100</w:t>
      </w:r>
      <w:r w:rsidR="0002199D">
        <w:rPr>
          <w:b/>
          <w:bCs/>
          <w:szCs w:val="24"/>
        </w:rPr>
        <w:t xml:space="preserve"> </w:t>
      </w:r>
      <w:r w:rsidRPr="0002199D">
        <w:rPr>
          <w:b/>
          <w:bCs/>
          <w:szCs w:val="24"/>
        </w:rPr>
        <w:t xml:space="preserve"> </w:t>
      </w:r>
      <w:r w:rsidR="00792CBB" w:rsidRPr="00792CBB">
        <w:rPr>
          <w:b/>
          <w:bCs/>
          <w:sz w:val="28"/>
          <w:szCs w:val="28"/>
        </w:rPr>
        <w:t>млн. руб</w:t>
      </w:r>
      <w:r w:rsidRPr="00792CBB">
        <w:rPr>
          <w:b/>
          <w:bCs/>
          <w:sz w:val="28"/>
          <w:szCs w:val="28"/>
        </w:rPr>
        <w:t>.</w:t>
      </w:r>
      <w:r w:rsidRPr="0002199D">
        <w:rPr>
          <w:szCs w:val="24"/>
        </w:rPr>
        <w:t>)</w:t>
      </w:r>
    </w:p>
    <w:p w:rsidR="0002199D" w:rsidRPr="0002199D" w:rsidRDefault="0002199D" w:rsidP="0002199D">
      <w:pPr>
        <w:spacing w:after="0"/>
        <w:jc w:val="both"/>
        <w:rPr>
          <w:szCs w:val="24"/>
        </w:rPr>
      </w:pPr>
    </w:p>
    <w:p w:rsidR="00CE0B12" w:rsidRDefault="00554996" w:rsidP="00B95FC9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02199D">
        <w:rPr>
          <w:szCs w:val="24"/>
        </w:rPr>
        <w:t xml:space="preserve">РАЗМЕР ПОРУЧИТЕЛЬСТВА – </w:t>
      </w:r>
      <w:r w:rsidRPr="0002199D">
        <w:rPr>
          <w:b/>
          <w:bCs/>
          <w:szCs w:val="24"/>
        </w:rPr>
        <w:t xml:space="preserve">НЕ БОЛЕЕ 70 % </w:t>
      </w:r>
      <w:r w:rsidRPr="0002199D">
        <w:rPr>
          <w:szCs w:val="24"/>
        </w:rPr>
        <w:t xml:space="preserve">ОТ </w:t>
      </w:r>
      <w:r w:rsidR="0002199D">
        <w:rPr>
          <w:szCs w:val="24"/>
        </w:rPr>
        <w:t>СУММЫ ОБЯЗАТЕЛЬСТВ СУБЪЕКТА МСП</w:t>
      </w:r>
    </w:p>
    <w:p w:rsidR="0002199D" w:rsidRPr="0002199D" w:rsidRDefault="0002199D" w:rsidP="0002199D">
      <w:pPr>
        <w:spacing w:after="0"/>
        <w:jc w:val="both"/>
        <w:rPr>
          <w:szCs w:val="24"/>
        </w:rPr>
      </w:pPr>
    </w:p>
    <w:p w:rsidR="00CE0B12" w:rsidRPr="0002199D" w:rsidRDefault="00554996" w:rsidP="00B95FC9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02199D">
        <w:rPr>
          <w:szCs w:val="24"/>
        </w:rPr>
        <w:t xml:space="preserve">СРОК ПОРУЧИТЕЛЬСТВА – </w:t>
      </w:r>
      <w:r w:rsidRPr="0002199D">
        <w:rPr>
          <w:b/>
          <w:bCs/>
          <w:szCs w:val="24"/>
        </w:rPr>
        <w:t>ДО 7 (СЕМИ) ЛЕТ</w:t>
      </w:r>
    </w:p>
    <w:p w:rsidR="0002199D" w:rsidRPr="0002199D" w:rsidRDefault="0002199D" w:rsidP="0002199D">
      <w:pPr>
        <w:spacing w:after="0"/>
        <w:jc w:val="both"/>
        <w:rPr>
          <w:szCs w:val="24"/>
        </w:rPr>
      </w:pPr>
    </w:p>
    <w:p w:rsidR="00CE0B12" w:rsidRPr="00A056C6" w:rsidRDefault="00554996" w:rsidP="00B95FC9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056C6">
        <w:rPr>
          <w:szCs w:val="24"/>
        </w:rPr>
        <w:t>ПОРУЧИТЕЛЬСТВО ПРЕДОСТАВЛЯЕТСЯ СУБЪЕКТАМ  МСП, ЗАРЕГИСТРИРОВАННЫМ И ОСУЩЕСТВЛЯЮЩИМ ПРЕДПРИНИМАТЕЛЬСКУЮ ДЕЯТЕЛЬНОСТЬ НА ТЕРРИТОРИИ СТАВРОПОЛЬСКОГО КРАЯ</w:t>
      </w:r>
      <w:r w:rsidRPr="00A056C6">
        <w:rPr>
          <w:bCs/>
          <w:szCs w:val="24"/>
        </w:rPr>
        <w:t xml:space="preserve"> </w:t>
      </w:r>
    </w:p>
    <w:p w:rsidR="00295136" w:rsidRPr="00295136" w:rsidRDefault="00295136" w:rsidP="0029513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  <w:r w:rsidR="00A056C6">
        <w:rPr>
          <w:sz w:val="28"/>
          <w:szCs w:val="28"/>
        </w:rPr>
        <w:t>---</w:t>
      </w:r>
      <w:r>
        <w:rPr>
          <w:sz w:val="28"/>
          <w:szCs w:val="28"/>
        </w:rPr>
        <w:t>----</w:t>
      </w:r>
    </w:p>
    <w:p w:rsidR="0002199D" w:rsidRDefault="0002199D" w:rsidP="00295136">
      <w:pPr>
        <w:spacing w:after="0"/>
        <w:ind w:left="720"/>
        <w:jc w:val="center"/>
        <w:rPr>
          <w:b/>
          <w:bCs/>
          <w:sz w:val="32"/>
          <w:szCs w:val="32"/>
          <w:u w:val="single"/>
        </w:rPr>
      </w:pPr>
    </w:p>
    <w:p w:rsidR="00295136" w:rsidRPr="0002199D" w:rsidRDefault="00295136" w:rsidP="00295136">
      <w:pPr>
        <w:spacing w:after="0"/>
        <w:ind w:left="720"/>
        <w:jc w:val="center"/>
        <w:rPr>
          <w:b/>
          <w:bCs/>
          <w:sz w:val="32"/>
          <w:szCs w:val="32"/>
          <w:u w:val="single"/>
        </w:rPr>
      </w:pPr>
      <w:r w:rsidRPr="0002199D">
        <w:rPr>
          <w:b/>
          <w:bCs/>
          <w:sz w:val="32"/>
          <w:szCs w:val="32"/>
          <w:u w:val="single"/>
        </w:rPr>
        <w:t xml:space="preserve">ПРЕИМУЩЕСТВА  РАБОТЫ  С </w:t>
      </w:r>
      <w:r w:rsidR="00697241" w:rsidRPr="0002199D">
        <w:rPr>
          <w:b/>
          <w:bCs/>
          <w:sz w:val="32"/>
          <w:szCs w:val="32"/>
          <w:u w:val="single"/>
        </w:rPr>
        <w:t xml:space="preserve"> </w:t>
      </w:r>
      <w:r w:rsidRPr="0002199D">
        <w:rPr>
          <w:b/>
          <w:bCs/>
          <w:sz w:val="32"/>
          <w:szCs w:val="32"/>
          <w:u w:val="single"/>
        </w:rPr>
        <w:t>ГАРАНТИЙНЫМ  ФОНДОМ</w:t>
      </w:r>
    </w:p>
    <w:p w:rsidR="00295136" w:rsidRDefault="00295136" w:rsidP="00295136">
      <w:pPr>
        <w:spacing w:after="0"/>
        <w:ind w:left="720"/>
        <w:jc w:val="center"/>
        <w:rPr>
          <w:sz w:val="28"/>
          <w:szCs w:val="28"/>
        </w:rPr>
      </w:pPr>
    </w:p>
    <w:p w:rsidR="00CE0B12" w:rsidRPr="00973045" w:rsidRDefault="00295136" w:rsidP="00973045">
      <w:pPr>
        <w:spacing w:after="0"/>
        <w:ind w:left="720"/>
        <w:jc w:val="center"/>
        <w:rPr>
          <w:b/>
          <w:color w:val="C00000"/>
          <w:sz w:val="28"/>
          <w:szCs w:val="28"/>
          <w:u w:val="single"/>
        </w:rPr>
      </w:pPr>
      <w:r w:rsidRPr="00973045">
        <w:rPr>
          <w:b/>
          <w:color w:val="C00000"/>
          <w:sz w:val="28"/>
          <w:szCs w:val="28"/>
          <w:u w:val="single"/>
        </w:rPr>
        <w:t>ВЫГОДНО</w:t>
      </w:r>
    </w:p>
    <w:p w:rsidR="00CE0B12" w:rsidRPr="0002199D" w:rsidRDefault="00554996" w:rsidP="00295136">
      <w:pPr>
        <w:numPr>
          <w:ilvl w:val="0"/>
          <w:numId w:val="2"/>
        </w:numPr>
        <w:spacing w:after="0"/>
        <w:jc w:val="both"/>
        <w:rPr>
          <w:szCs w:val="24"/>
        </w:rPr>
      </w:pPr>
      <w:r w:rsidRPr="0002199D">
        <w:rPr>
          <w:szCs w:val="24"/>
        </w:rPr>
        <w:t xml:space="preserve">ЭКОНОМИЯ  НА  ОЦЕНКЕ,  СТРАХОВАНИИ   И  ОФОРМЛЕНИИ   ЗАЛОГА </w:t>
      </w:r>
    </w:p>
    <w:p w:rsidR="00CE0B12" w:rsidRPr="00295136" w:rsidRDefault="00554996" w:rsidP="00295136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02199D">
        <w:rPr>
          <w:b/>
          <w:bCs/>
          <w:szCs w:val="24"/>
        </w:rPr>
        <w:t>НИЗКАЯ  СТОИМОСТЬ  ПОРУЧИТЕЛЬСТВА –  ОТ  0,5  ДО  1,5 %</w:t>
      </w:r>
      <w:r w:rsidRPr="00295136">
        <w:rPr>
          <w:b/>
          <w:bCs/>
          <w:sz w:val="28"/>
          <w:szCs w:val="28"/>
        </w:rPr>
        <w:t xml:space="preserve">  </w:t>
      </w:r>
    </w:p>
    <w:p w:rsidR="00295136" w:rsidRPr="00973045" w:rsidRDefault="00295136" w:rsidP="00295136">
      <w:pPr>
        <w:spacing w:after="0"/>
        <w:ind w:left="720"/>
        <w:jc w:val="center"/>
        <w:rPr>
          <w:bCs/>
          <w:sz w:val="16"/>
          <w:szCs w:val="16"/>
        </w:rPr>
      </w:pPr>
    </w:p>
    <w:p w:rsidR="00295136" w:rsidRPr="00973045" w:rsidRDefault="00295136" w:rsidP="00295136">
      <w:pPr>
        <w:spacing w:after="0"/>
        <w:ind w:left="720"/>
        <w:jc w:val="center"/>
        <w:rPr>
          <w:b/>
          <w:color w:val="C00000"/>
          <w:sz w:val="28"/>
          <w:szCs w:val="28"/>
          <w:u w:val="single"/>
        </w:rPr>
      </w:pPr>
      <w:r w:rsidRPr="00973045">
        <w:rPr>
          <w:b/>
          <w:bCs/>
          <w:color w:val="C00000"/>
          <w:sz w:val="28"/>
          <w:szCs w:val="28"/>
          <w:u w:val="single"/>
        </w:rPr>
        <w:t>УДОБНО</w:t>
      </w:r>
    </w:p>
    <w:p w:rsidR="00CE0B12" w:rsidRPr="0002199D" w:rsidRDefault="00554996" w:rsidP="00295136">
      <w:pPr>
        <w:numPr>
          <w:ilvl w:val="0"/>
          <w:numId w:val="3"/>
        </w:numPr>
        <w:spacing w:after="0"/>
        <w:rPr>
          <w:szCs w:val="24"/>
        </w:rPr>
      </w:pPr>
      <w:r w:rsidRPr="0002199D">
        <w:rPr>
          <w:b/>
          <w:bCs/>
          <w:szCs w:val="24"/>
        </w:rPr>
        <w:t xml:space="preserve">СБОР  ДОКУМЕНТОВ  ДЛЯ  ФОНДА  ОСУЩЕСТВЛЯЕТ  БАНК </w:t>
      </w:r>
    </w:p>
    <w:p w:rsidR="00CE0B12" w:rsidRPr="0002199D" w:rsidRDefault="00554996" w:rsidP="00295136">
      <w:pPr>
        <w:numPr>
          <w:ilvl w:val="0"/>
          <w:numId w:val="3"/>
        </w:numPr>
        <w:spacing w:after="0"/>
        <w:rPr>
          <w:szCs w:val="24"/>
        </w:rPr>
      </w:pPr>
      <w:r w:rsidRPr="0002199D">
        <w:rPr>
          <w:szCs w:val="24"/>
        </w:rPr>
        <w:t xml:space="preserve">БЫСТРОЕ    РАССМОТРЕНИЕ   И   ПРИНЯТИЕ   РЕШЕНИЯ   ФОНДОМ </w:t>
      </w:r>
    </w:p>
    <w:p w:rsidR="00973045" w:rsidRPr="0002199D" w:rsidRDefault="00554996" w:rsidP="0002199D">
      <w:pPr>
        <w:numPr>
          <w:ilvl w:val="0"/>
          <w:numId w:val="3"/>
        </w:numPr>
        <w:spacing w:after="0"/>
        <w:rPr>
          <w:szCs w:val="24"/>
        </w:rPr>
      </w:pPr>
      <w:r w:rsidRPr="0002199D">
        <w:rPr>
          <w:b/>
          <w:bCs/>
          <w:szCs w:val="24"/>
        </w:rPr>
        <w:t xml:space="preserve">БОЛЬШОЙ </w:t>
      </w:r>
      <w:r w:rsidR="00295136" w:rsidRPr="0002199D">
        <w:rPr>
          <w:b/>
          <w:bCs/>
          <w:szCs w:val="24"/>
        </w:rPr>
        <w:t xml:space="preserve"> </w:t>
      </w:r>
      <w:r w:rsidR="007E2B2C" w:rsidRPr="0002199D">
        <w:rPr>
          <w:b/>
          <w:bCs/>
          <w:szCs w:val="24"/>
        </w:rPr>
        <w:t xml:space="preserve"> </w:t>
      </w:r>
      <w:r w:rsidRPr="0002199D">
        <w:rPr>
          <w:b/>
          <w:bCs/>
          <w:szCs w:val="24"/>
        </w:rPr>
        <w:t xml:space="preserve">ПЕРЕЧЕНЬ </w:t>
      </w:r>
      <w:r w:rsidR="00295136" w:rsidRPr="0002199D">
        <w:rPr>
          <w:b/>
          <w:bCs/>
          <w:szCs w:val="24"/>
        </w:rPr>
        <w:t xml:space="preserve"> </w:t>
      </w:r>
      <w:r w:rsidR="007E2B2C" w:rsidRPr="0002199D">
        <w:rPr>
          <w:b/>
          <w:bCs/>
          <w:szCs w:val="24"/>
        </w:rPr>
        <w:t xml:space="preserve"> </w:t>
      </w:r>
      <w:r w:rsidRPr="0002199D">
        <w:rPr>
          <w:b/>
          <w:bCs/>
          <w:szCs w:val="24"/>
        </w:rPr>
        <w:t>ФИНАНСОВЫХ</w:t>
      </w:r>
      <w:r w:rsidR="00295136" w:rsidRPr="0002199D">
        <w:rPr>
          <w:b/>
          <w:bCs/>
          <w:szCs w:val="24"/>
        </w:rPr>
        <w:t xml:space="preserve"> </w:t>
      </w:r>
      <w:r w:rsidR="007E2B2C" w:rsidRPr="0002199D">
        <w:rPr>
          <w:b/>
          <w:bCs/>
          <w:szCs w:val="24"/>
        </w:rPr>
        <w:t xml:space="preserve"> </w:t>
      </w:r>
      <w:r w:rsidRPr="0002199D">
        <w:rPr>
          <w:b/>
          <w:bCs/>
          <w:szCs w:val="24"/>
        </w:rPr>
        <w:t xml:space="preserve"> ОРГАНИЗАЦИЙ</w:t>
      </w:r>
      <w:r w:rsidR="007E2B2C" w:rsidRPr="0002199D">
        <w:rPr>
          <w:b/>
          <w:bCs/>
          <w:szCs w:val="24"/>
        </w:rPr>
        <w:t xml:space="preserve">  </w:t>
      </w:r>
      <w:r w:rsidRPr="0002199D">
        <w:rPr>
          <w:b/>
          <w:bCs/>
          <w:szCs w:val="24"/>
        </w:rPr>
        <w:t xml:space="preserve"> – ПАРТНЁРОВ ФОНДА </w:t>
      </w:r>
    </w:p>
    <w:p w:rsidR="00973045" w:rsidRDefault="00973045" w:rsidP="00973045">
      <w:pPr>
        <w:spacing w:after="0"/>
        <w:ind w:left="720"/>
        <w:jc w:val="center"/>
        <w:rPr>
          <w:b/>
          <w:color w:val="C00000"/>
          <w:sz w:val="28"/>
          <w:szCs w:val="28"/>
          <w:u w:val="single"/>
        </w:rPr>
      </w:pPr>
      <w:r w:rsidRPr="00973045">
        <w:rPr>
          <w:b/>
          <w:color w:val="C00000"/>
          <w:sz w:val="28"/>
          <w:szCs w:val="28"/>
          <w:u w:val="single"/>
        </w:rPr>
        <w:t>НАДЁЖНО</w:t>
      </w:r>
      <w:r>
        <w:rPr>
          <w:b/>
          <w:color w:val="C00000"/>
          <w:sz w:val="28"/>
          <w:szCs w:val="28"/>
          <w:u w:val="single"/>
        </w:rPr>
        <w:t xml:space="preserve"> </w:t>
      </w:r>
    </w:p>
    <w:p w:rsidR="007D7E56" w:rsidRPr="0002199D" w:rsidRDefault="00973045" w:rsidP="00973045">
      <w:pPr>
        <w:numPr>
          <w:ilvl w:val="0"/>
          <w:numId w:val="6"/>
        </w:numPr>
        <w:spacing w:after="0"/>
        <w:jc w:val="both"/>
        <w:rPr>
          <w:szCs w:val="24"/>
        </w:rPr>
      </w:pPr>
      <w:r w:rsidRPr="0002199D">
        <w:rPr>
          <w:bCs/>
          <w:szCs w:val="24"/>
        </w:rPr>
        <w:t xml:space="preserve">ФОНД  ЯВЛЯЕТСЯ  ГОСУДАРСТВЕННЫМ  ПРЕДПРИЯТИЕМ </w:t>
      </w:r>
    </w:p>
    <w:p w:rsidR="00973045" w:rsidRPr="00973045" w:rsidRDefault="00973045" w:rsidP="00973045">
      <w:pPr>
        <w:numPr>
          <w:ilvl w:val="0"/>
          <w:numId w:val="6"/>
        </w:numPr>
        <w:spacing w:after="0"/>
        <w:jc w:val="both"/>
        <w:rPr>
          <w:b/>
          <w:sz w:val="28"/>
          <w:szCs w:val="28"/>
        </w:rPr>
      </w:pPr>
      <w:r w:rsidRPr="0002199D">
        <w:rPr>
          <w:b/>
          <w:szCs w:val="24"/>
        </w:rPr>
        <w:t>ПРОЗРАЧНОСТЬ   ВСЕХ   ПРОЦЕДУР,   СВЯЗАННЫХ   С   ОФОРМЛЕНИЕМ ПОРУЧИТЕЛЬСТВА</w:t>
      </w:r>
      <w:r w:rsidRPr="00973045">
        <w:rPr>
          <w:b/>
          <w:sz w:val="28"/>
          <w:szCs w:val="28"/>
        </w:rPr>
        <w:t xml:space="preserve"> </w:t>
      </w:r>
    </w:p>
    <w:p w:rsidR="00B95FC9" w:rsidRDefault="00B95FC9" w:rsidP="00B95FC9">
      <w:pPr>
        <w:spacing w:after="0"/>
        <w:rPr>
          <w:sz w:val="28"/>
          <w:szCs w:val="28"/>
        </w:rPr>
      </w:pPr>
    </w:p>
    <w:p w:rsidR="0002199D" w:rsidRDefault="0002199D" w:rsidP="00B95FC9">
      <w:pPr>
        <w:spacing w:after="0"/>
        <w:rPr>
          <w:sz w:val="28"/>
          <w:szCs w:val="28"/>
        </w:rPr>
      </w:pPr>
    </w:p>
    <w:p w:rsidR="00295136" w:rsidRPr="0002199D" w:rsidRDefault="00295136" w:rsidP="007E2B2C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caps/>
          <w:color w:val="000000"/>
          <w:spacing w:val="-10"/>
          <w:kern w:val="36"/>
          <w:sz w:val="32"/>
          <w:szCs w:val="32"/>
          <w:u w:val="single"/>
          <w:lang w:eastAsia="ru-RU"/>
        </w:rPr>
      </w:pPr>
      <w:r w:rsidRPr="0002199D">
        <w:rPr>
          <w:rFonts w:ascii="Open Sans" w:eastAsia="Times New Roman" w:hAnsi="Open Sans" w:cs="Times New Roman"/>
          <w:b/>
          <w:caps/>
          <w:color w:val="000000"/>
          <w:spacing w:val="-10"/>
          <w:kern w:val="36"/>
          <w:sz w:val="32"/>
          <w:szCs w:val="32"/>
          <w:u w:val="single"/>
          <w:lang w:eastAsia="ru-RU"/>
        </w:rPr>
        <w:lastRenderedPageBreak/>
        <w:t>КАК  ПОЛУЧИТЬ  ПОРУЧИТЕЛЬСТВО</w:t>
      </w:r>
    </w:p>
    <w:p w:rsidR="007E2B2C" w:rsidRPr="007E2B2C" w:rsidRDefault="007E2B2C" w:rsidP="007E2B2C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top"/>
        <w:rPr>
          <w:color w:val="000000"/>
          <w:sz w:val="28"/>
          <w:szCs w:val="28"/>
        </w:rPr>
      </w:pPr>
      <w:r w:rsidRPr="007E2B2C">
        <w:rPr>
          <w:rStyle w:val="a7"/>
          <w:color w:val="000000"/>
          <w:sz w:val="28"/>
          <w:szCs w:val="28"/>
          <w:bdr w:val="none" w:sz="0" w:space="0" w:color="auto" w:frame="1"/>
        </w:rPr>
        <w:t>Шаг 1.</w:t>
      </w:r>
      <w:r w:rsidRPr="007E2B2C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Заё</w:t>
      </w:r>
      <w:r w:rsidRPr="007E2B2C">
        <w:rPr>
          <w:color w:val="000000"/>
          <w:sz w:val="28"/>
          <w:szCs w:val="28"/>
        </w:rPr>
        <w:t xml:space="preserve">мщик </w:t>
      </w:r>
      <w:r>
        <w:rPr>
          <w:color w:val="000000"/>
          <w:sz w:val="28"/>
          <w:szCs w:val="28"/>
        </w:rPr>
        <w:t>самостоятельно обращается в финансовую организацию-партнё</w:t>
      </w:r>
      <w:r w:rsidRPr="007E2B2C">
        <w:rPr>
          <w:color w:val="000000"/>
          <w:sz w:val="28"/>
          <w:szCs w:val="28"/>
        </w:rPr>
        <w:t>р</w:t>
      </w:r>
      <w:r w:rsidR="00A056C6">
        <w:rPr>
          <w:color w:val="000000"/>
          <w:sz w:val="28"/>
          <w:szCs w:val="28"/>
        </w:rPr>
        <w:t>а</w:t>
      </w:r>
      <w:r w:rsidRPr="007E2B2C">
        <w:rPr>
          <w:color w:val="000000"/>
          <w:sz w:val="28"/>
          <w:szCs w:val="28"/>
        </w:rPr>
        <w:t>, предоставляет кредитную заявку и иные документы в соответствии с требова</w:t>
      </w:r>
      <w:r>
        <w:rPr>
          <w:color w:val="000000"/>
          <w:sz w:val="28"/>
          <w:szCs w:val="28"/>
        </w:rPr>
        <w:t>ниями конкретной  финансовой организации</w:t>
      </w:r>
      <w:r w:rsidRPr="007E2B2C">
        <w:rPr>
          <w:color w:val="000000"/>
          <w:sz w:val="28"/>
          <w:szCs w:val="28"/>
        </w:rPr>
        <w:t>.</w:t>
      </w:r>
    </w:p>
    <w:p w:rsidR="007E2B2C" w:rsidRPr="007E2B2C" w:rsidRDefault="007E2B2C" w:rsidP="007E2B2C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top"/>
        <w:rPr>
          <w:color w:val="000000"/>
          <w:sz w:val="28"/>
          <w:szCs w:val="28"/>
        </w:rPr>
      </w:pPr>
      <w:r w:rsidRPr="007E2B2C">
        <w:rPr>
          <w:rStyle w:val="a7"/>
          <w:color w:val="000000"/>
          <w:sz w:val="28"/>
          <w:szCs w:val="28"/>
          <w:bdr w:val="none" w:sz="0" w:space="0" w:color="auto" w:frame="1"/>
        </w:rPr>
        <w:t>Шаг 2.</w:t>
      </w:r>
      <w:r>
        <w:rPr>
          <w:color w:val="000000"/>
          <w:sz w:val="28"/>
          <w:szCs w:val="28"/>
        </w:rPr>
        <w:t> Финансовая организация рассматривает заявку Заё</w:t>
      </w:r>
      <w:r w:rsidRPr="007E2B2C">
        <w:rPr>
          <w:color w:val="000000"/>
          <w:sz w:val="28"/>
          <w:szCs w:val="28"/>
        </w:rPr>
        <w:t>мщика, анализирует представленные им документы и оценивает его финансовое состояние.</w:t>
      </w:r>
    </w:p>
    <w:p w:rsidR="007E2B2C" w:rsidRPr="007E2B2C" w:rsidRDefault="007E2B2C" w:rsidP="007E2B2C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top"/>
        <w:rPr>
          <w:color w:val="000000"/>
          <w:sz w:val="28"/>
          <w:szCs w:val="28"/>
        </w:rPr>
      </w:pPr>
      <w:r w:rsidRPr="007E2B2C">
        <w:rPr>
          <w:rStyle w:val="a7"/>
          <w:color w:val="000000"/>
          <w:sz w:val="28"/>
          <w:szCs w:val="28"/>
          <w:bdr w:val="none" w:sz="0" w:space="0" w:color="auto" w:frame="1"/>
        </w:rPr>
        <w:t>Шаг 3.</w:t>
      </w:r>
      <w:r>
        <w:rPr>
          <w:color w:val="000000"/>
          <w:sz w:val="28"/>
          <w:szCs w:val="28"/>
        </w:rPr>
        <w:t> При принятии финансовой организацией</w:t>
      </w:r>
      <w:r w:rsidRPr="007E2B2C">
        <w:rPr>
          <w:color w:val="000000"/>
          <w:sz w:val="28"/>
          <w:szCs w:val="28"/>
        </w:rPr>
        <w:t xml:space="preserve"> положительного решения о предоставлении кредита</w:t>
      </w:r>
      <w:r>
        <w:rPr>
          <w:color w:val="000000"/>
          <w:sz w:val="28"/>
          <w:szCs w:val="28"/>
        </w:rPr>
        <w:t>/займа под поручительство Фонда, Заё</w:t>
      </w:r>
      <w:r w:rsidR="0002199D">
        <w:rPr>
          <w:color w:val="000000"/>
          <w:sz w:val="28"/>
          <w:szCs w:val="28"/>
        </w:rPr>
        <w:t>мщику совместно с финансовой организацией</w:t>
      </w:r>
      <w:r w:rsidRPr="007E2B2C">
        <w:rPr>
          <w:color w:val="000000"/>
          <w:sz w:val="28"/>
          <w:szCs w:val="28"/>
        </w:rPr>
        <w:t xml:space="preserve"> необходимо составить и подать заявку на получение поручи</w:t>
      </w:r>
      <w:r>
        <w:rPr>
          <w:color w:val="000000"/>
          <w:sz w:val="28"/>
          <w:szCs w:val="28"/>
        </w:rPr>
        <w:t>тельства Фонда. После этого финансовая организация-партнё</w:t>
      </w:r>
      <w:r w:rsidRPr="007E2B2C">
        <w:rPr>
          <w:color w:val="000000"/>
          <w:sz w:val="28"/>
          <w:szCs w:val="28"/>
        </w:rPr>
        <w:t>р самостоятельно направляет заявку на получение поручительства Фонда и прилагает к ней все необходимые документы.</w:t>
      </w:r>
    </w:p>
    <w:p w:rsidR="007E2B2C" w:rsidRPr="007E2B2C" w:rsidRDefault="007E2B2C" w:rsidP="007E2B2C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top"/>
        <w:rPr>
          <w:color w:val="000000"/>
          <w:sz w:val="28"/>
          <w:szCs w:val="28"/>
        </w:rPr>
      </w:pPr>
      <w:r w:rsidRPr="007E2B2C">
        <w:rPr>
          <w:rStyle w:val="a7"/>
          <w:color w:val="000000"/>
          <w:sz w:val="28"/>
          <w:szCs w:val="28"/>
          <w:bdr w:val="none" w:sz="0" w:space="0" w:color="auto" w:frame="1"/>
        </w:rPr>
        <w:t>Шаг 4.</w:t>
      </w:r>
      <w:r w:rsidRPr="007E2B2C">
        <w:rPr>
          <w:color w:val="000000"/>
          <w:sz w:val="28"/>
          <w:szCs w:val="28"/>
        </w:rPr>
        <w:t> При принятии Фондом положительного решения о предоставлении поручительства, необходимо подпи</w:t>
      </w:r>
      <w:r>
        <w:rPr>
          <w:color w:val="000000"/>
          <w:sz w:val="28"/>
          <w:szCs w:val="28"/>
        </w:rPr>
        <w:t>сать совместно с Фондом и финансовой организацией трё</w:t>
      </w:r>
      <w:r w:rsidRPr="007E2B2C">
        <w:rPr>
          <w:color w:val="000000"/>
          <w:sz w:val="28"/>
          <w:szCs w:val="28"/>
        </w:rPr>
        <w:t>хсторонний договор поручительства.</w:t>
      </w:r>
    </w:p>
    <w:p w:rsidR="007E2B2C" w:rsidRPr="007E2B2C" w:rsidRDefault="007E2B2C" w:rsidP="007E2B2C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top"/>
        <w:rPr>
          <w:color w:val="000000"/>
          <w:sz w:val="28"/>
          <w:szCs w:val="28"/>
        </w:rPr>
      </w:pPr>
      <w:r w:rsidRPr="007E2B2C">
        <w:rPr>
          <w:rStyle w:val="a7"/>
          <w:color w:val="000000"/>
          <w:sz w:val="28"/>
          <w:szCs w:val="28"/>
          <w:bdr w:val="none" w:sz="0" w:space="0" w:color="auto" w:frame="1"/>
        </w:rPr>
        <w:t>Шаг 5.</w:t>
      </w:r>
      <w:r w:rsidRPr="007E2B2C">
        <w:rPr>
          <w:color w:val="000000"/>
          <w:sz w:val="28"/>
          <w:szCs w:val="28"/>
        </w:rPr>
        <w:t xml:space="preserve"> После заключения (подписания) договора поручительства </w:t>
      </w:r>
      <w:r>
        <w:rPr>
          <w:color w:val="000000"/>
          <w:sz w:val="28"/>
          <w:szCs w:val="28"/>
        </w:rPr>
        <w:t xml:space="preserve">Заёмщик </w:t>
      </w:r>
      <w:r w:rsidRPr="007E2B2C">
        <w:rPr>
          <w:color w:val="000000"/>
          <w:sz w:val="28"/>
          <w:szCs w:val="28"/>
        </w:rPr>
        <w:t>в установ</w:t>
      </w:r>
      <w:r>
        <w:rPr>
          <w:color w:val="000000"/>
          <w:sz w:val="28"/>
          <w:szCs w:val="28"/>
        </w:rPr>
        <w:t>ленный срок и в указанном размере уплачивает</w:t>
      </w:r>
      <w:r w:rsidRPr="007E2B2C">
        <w:rPr>
          <w:color w:val="000000"/>
          <w:sz w:val="28"/>
          <w:szCs w:val="28"/>
        </w:rPr>
        <w:t xml:space="preserve"> Фонду вознаграждение за предоставление поручительства.</w:t>
      </w:r>
    </w:p>
    <w:p w:rsidR="007E2B2C" w:rsidRDefault="007E2B2C" w:rsidP="007E2B2C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top"/>
        <w:rPr>
          <w:color w:val="000000"/>
          <w:sz w:val="28"/>
          <w:szCs w:val="28"/>
        </w:rPr>
      </w:pPr>
      <w:r w:rsidRPr="007E2B2C">
        <w:rPr>
          <w:rStyle w:val="a7"/>
          <w:color w:val="000000"/>
          <w:sz w:val="28"/>
          <w:szCs w:val="28"/>
          <w:bdr w:val="none" w:sz="0" w:space="0" w:color="auto" w:frame="1"/>
        </w:rPr>
        <w:t>Шаг 6. </w:t>
      </w:r>
      <w:r w:rsidRPr="007E2B2C">
        <w:rPr>
          <w:color w:val="000000"/>
          <w:sz w:val="28"/>
          <w:szCs w:val="28"/>
        </w:rPr>
        <w:t>Получение кредита</w:t>
      </w:r>
      <w:r w:rsidR="0002199D">
        <w:rPr>
          <w:color w:val="000000"/>
          <w:sz w:val="28"/>
          <w:szCs w:val="28"/>
        </w:rPr>
        <w:t>/займа</w:t>
      </w:r>
      <w:r w:rsidRPr="007E2B2C">
        <w:rPr>
          <w:color w:val="000000"/>
          <w:sz w:val="28"/>
          <w:szCs w:val="28"/>
        </w:rPr>
        <w:t>.</w:t>
      </w:r>
    </w:p>
    <w:p w:rsidR="008478F1" w:rsidRPr="007E2B2C" w:rsidRDefault="008478F1" w:rsidP="007E2B2C">
      <w:pPr>
        <w:pStyle w:val="a6"/>
        <w:shd w:val="clear" w:color="auto" w:fill="FFFFFF"/>
        <w:spacing w:before="0" w:beforeAutospacing="0" w:after="0" w:afterAutospacing="0" w:line="432" w:lineRule="atLeast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----------------------------------------------------------------------------------------------</w:t>
      </w:r>
      <w:r w:rsidR="00A056C6">
        <w:rPr>
          <w:color w:val="000000"/>
          <w:sz w:val="28"/>
          <w:szCs w:val="28"/>
        </w:rPr>
        <w:t>---</w:t>
      </w:r>
      <w:r>
        <w:rPr>
          <w:color w:val="000000"/>
          <w:sz w:val="28"/>
          <w:szCs w:val="28"/>
        </w:rPr>
        <w:t>---------------</w:t>
      </w:r>
    </w:p>
    <w:p w:rsidR="008478F1" w:rsidRPr="0002199D" w:rsidRDefault="008478F1" w:rsidP="00295136">
      <w:pPr>
        <w:spacing w:after="0"/>
        <w:jc w:val="center"/>
        <w:rPr>
          <w:b/>
          <w:bCs/>
          <w:sz w:val="20"/>
          <w:szCs w:val="20"/>
        </w:rPr>
      </w:pPr>
    </w:p>
    <w:p w:rsidR="00295136" w:rsidRPr="0002199D" w:rsidRDefault="008478F1" w:rsidP="00295136">
      <w:pPr>
        <w:spacing w:after="0"/>
        <w:jc w:val="center"/>
        <w:rPr>
          <w:sz w:val="32"/>
          <w:szCs w:val="32"/>
          <w:u w:val="single"/>
        </w:rPr>
      </w:pPr>
      <w:r w:rsidRPr="0002199D">
        <w:rPr>
          <w:b/>
          <w:bCs/>
          <w:sz w:val="32"/>
          <w:szCs w:val="32"/>
          <w:u w:val="single"/>
        </w:rPr>
        <w:t>ФИНАНСОВЫЕ   ОРГАНИЗАЦИИ  –  ПАРТНЁРЫ   ФОНДА</w:t>
      </w:r>
    </w:p>
    <w:p w:rsidR="008478F1" w:rsidRDefault="008478F1" w:rsidP="00295136">
      <w:pPr>
        <w:spacing w:after="0"/>
        <w:jc w:val="center"/>
        <w:rPr>
          <w:sz w:val="28"/>
          <w:szCs w:val="28"/>
        </w:rPr>
      </w:pPr>
    </w:p>
    <w:p w:rsidR="008478F1" w:rsidRDefault="008478F1" w:rsidP="008478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ПАО «Сбербанк», ПАО «Банк ВТБ», АО «</w:t>
      </w:r>
      <w:proofErr w:type="spellStart"/>
      <w:r>
        <w:rPr>
          <w:sz w:val="28"/>
          <w:szCs w:val="28"/>
        </w:rPr>
        <w:t>Россельхозбанк</w:t>
      </w:r>
      <w:proofErr w:type="spellEnd"/>
      <w:r>
        <w:rPr>
          <w:sz w:val="28"/>
          <w:szCs w:val="28"/>
        </w:rPr>
        <w:t xml:space="preserve">», АО «Альфа-Банк», ПАО «Промсвязьбанк», АО «МСП банк», </w:t>
      </w:r>
      <w:r w:rsidR="00697241">
        <w:rPr>
          <w:sz w:val="28"/>
          <w:szCs w:val="28"/>
        </w:rPr>
        <w:t>ПАО «</w:t>
      </w:r>
      <w:proofErr w:type="spellStart"/>
      <w:r w:rsidR="00697241">
        <w:rPr>
          <w:sz w:val="28"/>
          <w:szCs w:val="28"/>
        </w:rPr>
        <w:t>Ставропольпромстройбанк</w:t>
      </w:r>
      <w:proofErr w:type="spellEnd"/>
      <w:r w:rsidR="00697241">
        <w:rPr>
          <w:sz w:val="28"/>
          <w:szCs w:val="28"/>
        </w:rPr>
        <w:t>», АО «</w:t>
      </w:r>
      <w:proofErr w:type="spellStart"/>
      <w:r w:rsidR="00697241">
        <w:rPr>
          <w:sz w:val="28"/>
          <w:szCs w:val="28"/>
        </w:rPr>
        <w:t>Газпромбанк</w:t>
      </w:r>
      <w:proofErr w:type="spellEnd"/>
      <w:r w:rsidR="00697241">
        <w:rPr>
          <w:sz w:val="28"/>
          <w:szCs w:val="28"/>
        </w:rPr>
        <w:t>», КБ «Кубань Кредит», Ставропольский краевой фонд микрофинансирования, Фонд развития пищевой и перерабатывающей промышленности Ставропольского края, Фонд развития промышленности Ставропольского края, АО «МСП Лизинг»</w:t>
      </w:r>
    </w:p>
    <w:p w:rsidR="00697241" w:rsidRDefault="00697241" w:rsidP="008478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</w:t>
      </w:r>
      <w:r w:rsidR="00A056C6">
        <w:rPr>
          <w:sz w:val="28"/>
          <w:szCs w:val="28"/>
        </w:rPr>
        <w:t>---</w:t>
      </w:r>
      <w:r>
        <w:rPr>
          <w:sz w:val="28"/>
          <w:szCs w:val="28"/>
        </w:rPr>
        <w:t>-------------</w:t>
      </w:r>
    </w:p>
    <w:p w:rsidR="008478F1" w:rsidRPr="00A056C6" w:rsidRDefault="00697241" w:rsidP="00295136">
      <w:pPr>
        <w:spacing w:after="0"/>
        <w:jc w:val="center"/>
        <w:rPr>
          <w:b/>
          <w:sz w:val="32"/>
          <w:szCs w:val="32"/>
          <w:u w:val="single"/>
        </w:rPr>
      </w:pPr>
      <w:r w:rsidRPr="00A056C6">
        <w:rPr>
          <w:b/>
          <w:sz w:val="32"/>
          <w:szCs w:val="32"/>
          <w:u w:val="single"/>
        </w:rPr>
        <w:t>НАШИ</w:t>
      </w:r>
      <w:r w:rsidR="00A056C6">
        <w:rPr>
          <w:b/>
          <w:sz w:val="32"/>
          <w:szCs w:val="32"/>
          <w:u w:val="single"/>
        </w:rPr>
        <w:t xml:space="preserve">  </w:t>
      </w:r>
      <w:r w:rsidRPr="00A056C6">
        <w:rPr>
          <w:b/>
          <w:sz w:val="32"/>
          <w:szCs w:val="32"/>
          <w:u w:val="single"/>
        </w:rPr>
        <w:t xml:space="preserve"> КОНТАКТЫ</w:t>
      </w:r>
    </w:p>
    <w:p w:rsidR="008478F1" w:rsidRDefault="008478F1" w:rsidP="00295136">
      <w:pPr>
        <w:spacing w:after="0"/>
        <w:jc w:val="center"/>
        <w:rPr>
          <w:sz w:val="28"/>
          <w:szCs w:val="28"/>
        </w:rPr>
      </w:pPr>
    </w:p>
    <w:p w:rsidR="00697241" w:rsidRDefault="008478F1" w:rsidP="008478F1">
      <w:pPr>
        <w:spacing w:after="0"/>
        <w:jc w:val="center"/>
        <w:rPr>
          <w:b/>
          <w:bCs/>
          <w:sz w:val="28"/>
          <w:szCs w:val="28"/>
        </w:rPr>
      </w:pPr>
      <w:r w:rsidRPr="008478F1">
        <w:rPr>
          <w:b/>
          <w:bCs/>
          <w:sz w:val="28"/>
          <w:szCs w:val="28"/>
        </w:rPr>
        <w:t xml:space="preserve">г. Ставрополь,  ул. Маршала Жукова,  д. 20 а </w:t>
      </w:r>
    </w:p>
    <w:p w:rsidR="008478F1" w:rsidRPr="008478F1" w:rsidRDefault="008478F1" w:rsidP="008478F1">
      <w:pPr>
        <w:spacing w:after="0"/>
        <w:jc w:val="center"/>
        <w:rPr>
          <w:sz w:val="28"/>
          <w:szCs w:val="28"/>
        </w:rPr>
      </w:pPr>
      <w:r w:rsidRPr="008478F1">
        <w:rPr>
          <w:b/>
          <w:bCs/>
          <w:sz w:val="28"/>
          <w:szCs w:val="28"/>
        </w:rPr>
        <w:t xml:space="preserve">телефоны:  +7 (8652) 755 – 000, +7 (8652) 748 – 500 </w:t>
      </w:r>
    </w:p>
    <w:p w:rsidR="008478F1" w:rsidRPr="008478F1" w:rsidRDefault="008478F1" w:rsidP="008478F1">
      <w:pPr>
        <w:spacing w:after="0"/>
        <w:jc w:val="center"/>
        <w:rPr>
          <w:sz w:val="28"/>
          <w:szCs w:val="28"/>
          <w:lang w:val="en-US"/>
        </w:rPr>
      </w:pPr>
      <w:proofErr w:type="gramStart"/>
      <w:r w:rsidRPr="008478F1">
        <w:rPr>
          <w:b/>
          <w:bCs/>
          <w:sz w:val="28"/>
          <w:szCs w:val="28"/>
          <w:lang w:val="en-US"/>
        </w:rPr>
        <w:t>e-mail</w:t>
      </w:r>
      <w:proofErr w:type="gramEnd"/>
      <w:r w:rsidRPr="008478F1">
        <w:rPr>
          <w:b/>
          <w:bCs/>
          <w:sz w:val="28"/>
          <w:szCs w:val="28"/>
          <w:lang w:val="en-US"/>
        </w:rPr>
        <w:t xml:space="preserve">:  </w:t>
      </w:r>
      <w:hyperlink r:id="rId6" w:history="1">
        <w:r w:rsidRPr="008478F1">
          <w:rPr>
            <w:rStyle w:val="a8"/>
            <w:b/>
            <w:bCs/>
            <w:sz w:val="28"/>
            <w:szCs w:val="28"/>
            <w:lang w:val="en-US"/>
          </w:rPr>
          <w:t>garantfond26@yandex.ru</w:t>
        </w:r>
      </w:hyperlink>
      <w:r w:rsidRPr="008478F1">
        <w:rPr>
          <w:b/>
          <w:bCs/>
          <w:sz w:val="28"/>
          <w:szCs w:val="28"/>
          <w:lang w:val="en-US"/>
        </w:rPr>
        <w:t xml:space="preserve"> </w:t>
      </w:r>
    </w:p>
    <w:p w:rsidR="008478F1" w:rsidRPr="008478F1" w:rsidRDefault="008478F1" w:rsidP="008478F1">
      <w:pPr>
        <w:spacing w:after="0"/>
        <w:jc w:val="center"/>
        <w:rPr>
          <w:sz w:val="28"/>
          <w:szCs w:val="28"/>
          <w:lang w:val="en-US"/>
        </w:rPr>
      </w:pPr>
      <w:proofErr w:type="gramStart"/>
      <w:r w:rsidRPr="008478F1">
        <w:rPr>
          <w:b/>
          <w:bCs/>
          <w:sz w:val="28"/>
          <w:szCs w:val="28"/>
          <w:lang w:val="en-US"/>
        </w:rPr>
        <w:t>c</w:t>
      </w:r>
      <w:proofErr w:type="spellStart"/>
      <w:r w:rsidRPr="008478F1">
        <w:rPr>
          <w:b/>
          <w:bCs/>
          <w:sz w:val="28"/>
          <w:szCs w:val="28"/>
        </w:rPr>
        <w:t>айт</w:t>
      </w:r>
      <w:proofErr w:type="spellEnd"/>
      <w:proofErr w:type="gramEnd"/>
      <w:r w:rsidRPr="008478F1">
        <w:rPr>
          <w:b/>
          <w:bCs/>
          <w:sz w:val="28"/>
          <w:szCs w:val="28"/>
          <w:lang w:val="en-US"/>
        </w:rPr>
        <w:t xml:space="preserve">:  stavgarant26.ru </w:t>
      </w:r>
    </w:p>
    <w:p w:rsidR="008478F1" w:rsidRPr="00B95FC9" w:rsidRDefault="008478F1" w:rsidP="00697241">
      <w:pPr>
        <w:spacing w:after="0"/>
        <w:jc w:val="center"/>
        <w:rPr>
          <w:sz w:val="28"/>
          <w:szCs w:val="28"/>
        </w:rPr>
      </w:pPr>
      <w:r w:rsidRPr="008478F1">
        <w:rPr>
          <w:b/>
          <w:bCs/>
          <w:sz w:val="28"/>
          <w:szCs w:val="28"/>
        </w:rPr>
        <w:t>Запрос в поисковой системе:</w:t>
      </w:r>
      <w:r w:rsidR="00697241">
        <w:rPr>
          <w:sz w:val="28"/>
          <w:szCs w:val="28"/>
        </w:rPr>
        <w:t xml:space="preserve"> </w:t>
      </w:r>
      <w:r w:rsidRPr="008478F1">
        <w:rPr>
          <w:b/>
          <w:bCs/>
          <w:sz w:val="28"/>
          <w:szCs w:val="28"/>
        </w:rPr>
        <w:t>Гарантийный фонд Ставропольского края</w:t>
      </w:r>
    </w:p>
    <w:sectPr w:rsidR="008478F1" w:rsidRPr="00B95FC9" w:rsidSect="00A056C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941"/>
    <w:multiLevelType w:val="hybridMultilevel"/>
    <w:tmpl w:val="79D42F98"/>
    <w:lvl w:ilvl="0" w:tplc="49604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980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6A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0A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504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4B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6B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63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68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4F797D"/>
    <w:multiLevelType w:val="hybridMultilevel"/>
    <w:tmpl w:val="712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3264E"/>
    <w:multiLevelType w:val="hybridMultilevel"/>
    <w:tmpl w:val="A0B4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C63A6"/>
    <w:multiLevelType w:val="hybridMultilevel"/>
    <w:tmpl w:val="51DAA13E"/>
    <w:lvl w:ilvl="0" w:tplc="3E3E5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43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844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42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FC1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E7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786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AE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E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18D6400"/>
    <w:multiLevelType w:val="hybridMultilevel"/>
    <w:tmpl w:val="29D2DA08"/>
    <w:lvl w:ilvl="0" w:tplc="087E0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A1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02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48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CC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B8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68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A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C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5D5CDE"/>
    <w:multiLevelType w:val="hybridMultilevel"/>
    <w:tmpl w:val="8ED640E4"/>
    <w:lvl w:ilvl="0" w:tplc="D38669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4AF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AE2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240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085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45F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47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48A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421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5FC9"/>
    <w:rsid w:val="0002199D"/>
    <w:rsid w:val="00064FF4"/>
    <w:rsid w:val="00192487"/>
    <w:rsid w:val="00295136"/>
    <w:rsid w:val="00392790"/>
    <w:rsid w:val="00457688"/>
    <w:rsid w:val="00554996"/>
    <w:rsid w:val="00637809"/>
    <w:rsid w:val="00697241"/>
    <w:rsid w:val="006D34ED"/>
    <w:rsid w:val="00792CBB"/>
    <w:rsid w:val="007D7E56"/>
    <w:rsid w:val="007E2B2C"/>
    <w:rsid w:val="00806687"/>
    <w:rsid w:val="008478F1"/>
    <w:rsid w:val="00973045"/>
    <w:rsid w:val="00A056C6"/>
    <w:rsid w:val="00B95FC9"/>
    <w:rsid w:val="00CE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F4"/>
  </w:style>
  <w:style w:type="paragraph" w:styleId="1">
    <w:name w:val="heading 1"/>
    <w:basedOn w:val="a"/>
    <w:link w:val="10"/>
    <w:uiPriority w:val="9"/>
    <w:qFormat/>
    <w:rsid w:val="0029513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F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513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951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E2B2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7E2B2C"/>
    <w:rPr>
      <w:b/>
      <w:bCs/>
    </w:rPr>
  </w:style>
  <w:style w:type="character" w:styleId="a8">
    <w:name w:val="Hyperlink"/>
    <w:basedOn w:val="a0"/>
    <w:uiPriority w:val="99"/>
    <w:unhideWhenUsed/>
    <w:rsid w:val="008478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antfond26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abaleshev</dc:creator>
  <cp:lastModifiedBy>Курбанова</cp:lastModifiedBy>
  <cp:revision>2</cp:revision>
  <cp:lastPrinted>2024-10-22T08:18:00Z</cp:lastPrinted>
  <dcterms:created xsi:type="dcterms:W3CDTF">2024-11-20T07:36:00Z</dcterms:created>
  <dcterms:modified xsi:type="dcterms:W3CDTF">2024-11-20T07:36:00Z</dcterms:modified>
</cp:coreProperties>
</file>